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AC823" w14:textId="368590F1" w:rsidR="00CE5F5F" w:rsidRPr="00A42435" w:rsidRDefault="000C63E6" w:rsidP="00CE5F5F">
      <w:pPr>
        <w:tabs>
          <w:tab w:val="right" w:pos="10000"/>
        </w:tabs>
        <w:spacing w:after="0"/>
        <w:rPr>
          <w:rFonts w:ascii="Arial" w:hAnsi="Arial" w:cs="Arial"/>
          <w:b/>
          <w:sz w:val="22"/>
          <w:szCs w:val="24"/>
        </w:rPr>
      </w:pPr>
      <w:r w:rsidRPr="00A42435">
        <w:rPr>
          <w:rFonts w:ascii="Arial" w:hAnsi="Arial" w:cs="Arial"/>
          <w:b/>
          <w:sz w:val="22"/>
          <w:szCs w:val="24"/>
        </w:rPr>
        <w:t xml:space="preserve">3GPP TSG-RAN WG1 </w:t>
      </w:r>
      <w:r w:rsidR="007E4D9A" w:rsidRPr="00A42435">
        <w:rPr>
          <w:rFonts w:ascii="Arial" w:hAnsi="Arial" w:cs="Arial"/>
          <w:b/>
          <w:sz w:val="22"/>
          <w:szCs w:val="24"/>
        </w:rPr>
        <w:t>#</w:t>
      </w:r>
      <w:r w:rsidR="00E03250" w:rsidRPr="00A42435">
        <w:rPr>
          <w:rFonts w:ascii="Arial" w:hAnsi="Arial" w:cs="Arial"/>
          <w:b/>
          <w:sz w:val="22"/>
          <w:szCs w:val="24"/>
        </w:rPr>
        <w:t>10</w:t>
      </w:r>
      <w:r w:rsidR="008D43C8">
        <w:rPr>
          <w:rFonts w:ascii="Arial" w:hAnsi="Arial" w:cs="Arial"/>
          <w:b/>
          <w:sz w:val="22"/>
          <w:szCs w:val="24"/>
        </w:rPr>
        <w:t>5-</w:t>
      </w:r>
      <w:r w:rsidR="0073235E">
        <w:rPr>
          <w:rFonts w:ascii="Arial" w:hAnsi="Arial" w:cs="Arial"/>
          <w:b/>
          <w:sz w:val="22"/>
          <w:szCs w:val="24"/>
        </w:rPr>
        <w:t>e</w:t>
      </w:r>
      <w:r w:rsidR="00CE5F5F" w:rsidRPr="00A42435">
        <w:rPr>
          <w:rFonts w:ascii="Arial" w:hAnsi="Arial" w:cs="Arial"/>
          <w:b/>
          <w:sz w:val="22"/>
          <w:szCs w:val="24"/>
        </w:rPr>
        <w:tab/>
      </w:r>
      <w:r w:rsidR="00414824" w:rsidRPr="00A42435">
        <w:rPr>
          <w:rFonts w:ascii="Arial" w:hAnsi="Arial" w:cs="Arial"/>
          <w:b/>
          <w:sz w:val="22"/>
          <w:szCs w:val="24"/>
        </w:rPr>
        <w:t>R1-</w:t>
      </w:r>
      <w:r w:rsidR="00D76C15" w:rsidRPr="00D76C15">
        <w:rPr>
          <w:rFonts w:ascii="Arial" w:hAnsi="Arial" w:cs="Arial"/>
          <w:b/>
          <w:sz w:val="22"/>
          <w:szCs w:val="24"/>
        </w:rPr>
        <w:t>21</w:t>
      </w:r>
      <w:r w:rsidR="007C73BC">
        <w:rPr>
          <w:rFonts w:ascii="Arial" w:hAnsi="Arial" w:cs="Arial"/>
          <w:b/>
          <w:sz w:val="22"/>
          <w:szCs w:val="24"/>
        </w:rPr>
        <w:t>0</w:t>
      </w:r>
      <w:r w:rsidR="001F3E90">
        <w:rPr>
          <w:rFonts w:ascii="Arial" w:hAnsi="Arial" w:cs="Arial"/>
          <w:b/>
          <w:sz w:val="22"/>
          <w:szCs w:val="24"/>
        </w:rPr>
        <w:t>4661</w:t>
      </w:r>
    </w:p>
    <w:p w14:paraId="3A0CB384" w14:textId="4D61C62B"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F94473">
        <w:rPr>
          <w:rFonts w:cs="Arial"/>
          <w:i w:val="0"/>
          <w:sz w:val="22"/>
          <w:szCs w:val="24"/>
        </w:rPr>
        <w:t>May</w:t>
      </w:r>
      <w:r w:rsidR="00F4179A" w:rsidRPr="00A42435">
        <w:rPr>
          <w:rFonts w:cs="Arial"/>
          <w:i w:val="0"/>
          <w:sz w:val="22"/>
          <w:szCs w:val="24"/>
        </w:rPr>
        <w:t xml:space="preserve"> </w:t>
      </w:r>
      <w:r w:rsidR="00A43037">
        <w:rPr>
          <w:rFonts w:cs="Arial"/>
          <w:i w:val="0"/>
          <w:sz w:val="22"/>
          <w:szCs w:val="24"/>
        </w:rPr>
        <w:t>1</w:t>
      </w:r>
      <w:r w:rsidR="00F94473">
        <w:rPr>
          <w:rFonts w:cs="Arial"/>
          <w:i w:val="0"/>
          <w:sz w:val="22"/>
          <w:szCs w:val="24"/>
        </w:rPr>
        <w:t>0</w:t>
      </w:r>
      <w:r w:rsidR="00F4179A" w:rsidRPr="00A42435">
        <w:rPr>
          <w:rFonts w:cs="Arial"/>
          <w:i w:val="0"/>
          <w:sz w:val="22"/>
          <w:szCs w:val="24"/>
        </w:rPr>
        <w:t xml:space="preserve"> – </w:t>
      </w:r>
      <w:r w:rsidR="00F94473">
        <w:rPr>
          <w:rFonts w:cs="Arial"/>
          <w:i w:val="0"/>
          <w:sz w:val="22"/>
          <w:szCs w:val="24"/>
        </w:rPr>
        <w:t>May</w:t>
      </w:r>
      <w:r w:rsidR="00D94BEA">
        <w:rPr>
          <w:rFonts w:cs="Arial"/>
          <w:i w:val="0"/>
          <w:sz w:val="22"/>
          <w:szCs w:val="24"/>
        </w:rPr>
        <w:t xml:space="preserve"> </w:t>
      </w:r>
      <w:r w:rsidR="00F94473">
        <w:rPr>
          <w:rFonts w:cs="Arial"/>
          <w:i w:val="0"/>
          <w:sz w:val="22"/>
          <w:szCs w:val="24"/>
        </w:rPr>
        <w:t>27</w:t>
      </w:r>
      <w:r w:rsidR="00F4179A" w:rsidRPr="00A42435">
        <w:rPr>
          <w:rFonts w:cs="Arial"/>
          <w:i w:val="0"/>
          <w:sz w:val="22"/>
          <w:szCs w:val="24"/>
        </w:rPr>
        <w:t>, 20</w:t>
      </w:r>
      <w:r w:rsidR="004A4AB9" w:rsidRPr="00A42435">
        <w:rPr>
          <w:rFonts w:cs="Arial"/>
          <w:i w:val="0"/>
          <w:sz w:val="22"/>
          <w:szCs w:val="24"/>
        </w:rPr>
        <w:t>2</w:t>
      </w:r>
      <w:bookmarkEnd w:id="1"/>
      <w:r w:rsidR="00273F4D">
        <w:rPr>
          <w:rFonts w:cs="Arial"/>
          <w:i w:val="0"/>
          <w:sz w:val="22"/>
          <w:szCs w:val="24"/>
        </w:rPr>
        <w:t>1</w:t>
      </w:r>
    </w:p>
    <w:p w14:paraId="2076192A" w14:textId="77777777" w:rsidR="001612A5" w:rsidRPr="00A42435" w:rsidRDefault="001612A5" w:rsidP="001612A5">
      <w:pPr>
        <w:pStyle w:val="Footer"/>
        <w:jc w:val="both"/>
        <w:rPr>
          <w:noProof w:val="0"/>
          <w:sz w:val="16"/>
        </w:rPr>
      </w:pPr>
    </w:p>
    <w:p w14:paraId="00A480DC" w14:textId="3862E470"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DD7A44">
        <w:rPr>
          <w:rFonts w:ascii="Arial" w:hAnsi="Arial"/>
          <w:sz w:val="22"/>
        </w:rPr>
        <w:t>8.2.5</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52FABA0A" w14:textId="77777777" w:rsidR="003E653E" w:rsidRDefault="0045039C" w:rsidP="003E653E">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bookmarkEnd w:id="0"/>
      <w:r w:rsidR="003E653E" w:rsidRPr="003E653E">
        <w:rPr>
          <w:rFonts w:ascii="Arial" w:hAnsi="Arial"/>
          <w:sz w:val="22"/>
        </w:rPr>
        <w:t>PDSCH and PUSCH enhancements for 52.6-71GHz band</w:t>
      </w:r>
    </w:p>
    <w:p w14:paraId="2C0EDD71" w14:textId="661F1F25" w:rsidR="0045039C" w:rsidRPr="00A42435" w:rsidRDefault="0045039C" w:rsidP="003E653E">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52CBA169" w14:textId="2B7F2CFA" w:rsidR="00F766F4" w:rsidRDefault="006656EA" w:rsidP="00CF1A33">
      <w:r>
        <w:t xml:space="preserve">In </w:t>
      </w:r>
      <w:r w:rsidR="006F7F6A">
        <w:t>RAN #</w:t>
      </w:r>
      <w:r w:rsidR="00C3093D">
        <w:t>90e</w:t>
      </w:r>
      <w:r w:rsidR="006F7F6A">
        <w:t xml:space="preserve">, </w:t>
      </w:r>
      <w:r w:rsidR="00A0199A">
        <w:t>a</w:t>
      </w:r>
      <w:r w:rsidR="00D04976">
        <w:t xml:space="preserve"> Rel-17</w:t>
      </w:r>
      <w:r w:rsidR="00A0199A">
        <w:t xml:space="preserve"> </w:t>
      </w:r>
      <w:r w:rsidR="00C3093D">
        <w:t>work</w:t>
      </w:r>
      <w:r w:rsidR="00A0199A">
        <w:t xml:space="preserve"> item for </w:t>
      </w:r>
      <w:r w:rsidR="00E852BB">
        <w:t>NR operation</w:t>
      </w:r>
      <w:r w:rsidR="00C30531">
        <w:t xml:space="preserve"> in a frequency regime between 52.6GHz and 71GHz has been approved</w:t>
      </w:r>
      <w:r w:rsidR="00F365F2">
        <w:t xml:space="preserve"> </w:t>
      </w:r>
      <w:r w:rsidR="00F365F2" w:rsidRPr="00A34DED">
        <w:fldChar w:fldCharType="begin"/>
      </w:r>
      <w:r w:rsidR="00F365F2" w:rsidRPr="00A34DED">
        <w:instrText xml:space="preserve"> REF _Ref39444763 \r \h </w:instrText>
      </w:r>
      <w:r w:rsidR="00A34DED">
        <w:instrText xml:space="preserve"> \* MERGEFORMAT </w:instrText>
      </w:r>
      <w:r w:rsidR="00F365F2" w:rsidRPr="00A34DED">
        <w:fldChar w:fldCharType="separate"/>
      </w:r>
      <w:r w:rsidR="00355263">
        <w:t>[1]</w:t>
      </w:r>
      <w:r w:rsidR="00F365F2" w:rsidRPr="00A34DED">
        <w:fldChar w:fldCharType="end"/>
      </w:r>
      <w:r w:rsidR="00C30531" w:rsidRPr="00A34DED">
        <w:t>.</w:t>
      </w:r>
      <w:r w:rsidR="00C30531">
        <w:t xml:space="preserve"> </w:t>
      </w:r>
      <w:r w:rsidR="00D317D5">
        <w:t xml:space="preserve">As a part of the </w:t>
      </w:r>
      <w:r w:rsidR="00C3093D">
        <w:t>work</w:t>
      </w:r>
      <w:r w:rsidR="00D317D5">
        <w:t xml:space="preserve"> item, the study on the </w:t>
      </w:r>
      <w:r w:rsidR="00FF1117">
        <w:t>PDSCH/PUSCH potential enhancements with new agreed</w:t>
      </w:r>
      <w:r w:rsidR="006F49BD">
        <w:t xml:space="preserve"> numerologies, i.e., 120</w:t>
      </w:r>
      <w:r w:rsidR="00155A59">
        <w:t>k</w:t>
      </w:r>
      <w:r w:rsidR="0064524F">
        <w:t>Hz</w:t>
      </w:r>
      <w:r w:rsidR="006F49BD">
        <w:t>, 480</w:t>
      </w:r>
      <w:r w:rsidR="00155A59">
        <w:t>k</w:t>
      </w:r>
      <w:r w:rsidR="0064524F">
        <w:t>Hz</w:t>
      </w:r>
      <w:r w:rsidR="000F5C7C">
        <w:t>,</w:t>
      </w:r>
      <w:r w:rsidR="0064524F">
        <w:t xml:space="preserve"> </w:t>
      </w:r>
      <w:r w:rsidR="006F49BD">
        <w:t>and 960</w:t>
      </w:r>
      <w:r w:rsidR="00155A59">
        <w:t>k</w:t>
      </w:r>
      <w:r w:rsidR="0064524F">
        <w:t>Hz</w:t>
      </w:r>
      <w:r w:rsidR="006F49BD">
        <w:t>.</w:t>
      </w:r>
      <w:r w:rsidR="00F766F4">
        <w:t xml:space="preserve"> </w:t>
      </w:r>
      <w:r w:rsidR="00671E9C">
        <w:t>In RAN1#104-</w:t>
      </w:r>
      <w:r w:rsidR="004C2416">
        <w:t>bis-</w:t>
      </w:r>
      <w:r w:rsidR="00671E9C">
        <w:t>e</w:t>
      </w:r>
      <w:r w:rsidR="00052488">
        <w:t>,</w:t>
      </w:r>
      <w:r w:rsidR="00671E9C">
        <w:t xml:space="preserve"> </w:t>
      </w:r>
      <w:r w:rsidR="00CF306A">
        <w:t>[</w:t>
      </w:r>
      <w:r w:rsidR="0029765D">
        <w:t>2</w:t>
      </w:r>
      <w:r w:rsidR="00CF306A">
        <w:t>]</w:t>
      </w:r>
      <w:r w:rsidR="00671E9C">
        <w:t>,</w:t>
      </w:r>
      <w:r w:rsidR="00052488">
        <w:t xml:space="preserve"> it was agreed to support the enhancements needed for </w:t>
      </w:r>
      <w:r w:rsidR="00052488" w:rsidRPr="00A3440C">
        <w:t>multi-PDSCH/PUSCH scheduling and HARQ support with a single DCI</w:t>
      </w:r>
      <w:r w:rsidR="00052488">
        <w:t>.</w:t>
      </w:r>
      <w:r w:rsidR="00CE3C78">
        <w:t xml:space="preserve"> </w:t>
      </w:r>
    </w:p>
    <w:p w14:paraId="68100A09" w14:textId="77341DDE" w:rsidR="00585B15" w:rsidRDefault="00491BB4" w:rsidP="003134E9">
      <w:r>
        <w:t>In this contribution, we</w:t>
      </w:r>
      <w:r w:rsidR="00227473">
        <w:t xml:space="preserve"> </w:t>
      </w:r>
      <w:r w:rsidR="00E65829">
        <w:t xml:space="preserve">continue to </w:t>
      </w:r>
      <w:r w:rsidR="008B0424">
        <w:t>discuss</w:t>
      </w:r>
      <w:r w:rsidR="00227473">
        <w:t xml:space="preserve"> some</w:t>
      </w:r>
      <w:r w:rsidR="001D2417">
        <w:t xml:space="preserve"> </w:t>
      </w:r>
      <w:r w:rsidR="008B0424">
        <w:t xml:space="preserve">key </w:t>
      </w:r>
      <w:r w:rsidR="001D2417">
        <w:t xml:space="preserve">aspects </w:t>
      </w:r>
      <w:r w:rsidR="001A78EE">
        <w:t>of waveform design and</w:t>
      </w:r>
      <w:r w:rsidR="00227473">
        <w:t xml:space="preserve"> </w:t>
      </w:r>
      <w:r w:rsidR="00733E3A">
        <w:t xml:space="preserve">present our views on some </w:t>
      </w:r>
      <w:r w:rsidR="001A78EE">
        <w:t>potential issues</w:t>
      </w:r>
      <w:r w:rsidR="008B0424">
        <w:t xml:space="preserve"> for the high frequency regime</w:t>
      </w:r>
      <w:r w:rsidR="00DC3B9E">
        <w:t xml:space="preserve"> </w:t>
      </w:r>
      <w:r w:rsidR="00CF306A">
        <w:t>and</w:t>
      </w:r>
      <w:r w:rsidR="003134E9">
        <w:t xml:space="preserve"> provide proposal</w:t>
      </w:r>
      <w:r w:rsidR="00882982">
        <w:t xml:space="preserve">s for the different </w:t>
      </w:r>
      <w:r w:rsidR="00670001">
        <w:t>aspects</w:t>
      </w:r>
      <w:r w:rsidR="00882982">
        <w:t xml:space="preserve"> of </w:t>
      </w:r>
      <w:r w:rsidR="00F16951">
        <w:t>scheduling</w:t>
      </w:r>
      <w:r w:rsidR="00882982">
        <w:t xml:space="preserve"> </w:t>
      </w:r>
      <w:r w:rsidR="00F16951">
        <w:t>multi-</w:t>
      </w:r>
      <w:r w:rsidR="00882982">
        <w:t xml:space="preserve">PDSCH/PUSCH </w:t>
      </w:r>
      <w:r w:rsidR="007D6252">
        <w:t>via single DCI.</w:t>
      </w:r>
    </w:p>
    <w:p w14:paraId="57F5A8E0" w14:textId="0A767E11" w:rsidR="009545BD" w:rsidRPr="00A42435" w:rsidRDefault="004A0E61" w:rsidP="00017AA4">
      <w:pPr>
        <w:pStyle w:val="Heading1"/>
        <w:rPr>
          <w:lang w:val="en-US"/>
        </w:rPr>
      </w:pPr>
      <w:r w:rsidRPr="00A42435">
        <w:rPr>
          <w:lang w:val="en-US"/>
        </w:rPr>
        <w:t>Discussion</w:t>
      </w:r>
    </w:p>
    <w:p w14:paraId="37CCC33D" w14:textId="563C40EE" w:rsidR="003A0086" w:rsidRPr="00F2730C" w:rsidRDefault="00167794" w:rsidP="00F2730C">
      <w:pPr>
        <w:pStyle w:val="Heading2"/>
      </w:pPr>
      <w:r w:rsidRPr="00F2730C">
        <w:t>Maximum Number of PDSCHs/PUSCHs per single DCI</w:t>
      </w:r>
    </w:p>
    <w:p w14:paraId="45052530" w14:textId="59979B2D" w:rsidR="0092132D" w:rsidRDefault="0092132D" w:rsidP="0092132D">
      <w:pPr>
        <w:overflowPunct/>
        <w:autoSpaceDE/>
        <w:autoSpaceDN/>
        <w:adjustRightInd/>
        <w:spacing w:after="0"/>
        <w:jc w:val="left"/>
        <w:textAlignment w:val="auto"/>
        <w:rPr>
          <w:lang w:eastAsia="x-none"/>
        </w:rPr>
      </w:pPr>
    </w:p>
    <w:tbl>
      <w:tblPr>
        <w:tblStyle w:val="TableGrid"/>
        <w:tblW w:w="0" w:type="auto"/>
        <w:tblLook w:val="04A0" w:firstRow="1" w:lastRow="0" w:firstColumn="1" w:lastColumn="0" w:noHBand="0" w:noVBand="1"/>
      </w:tblPr>
      <w:tblGrid>
        <w:gridCol w:w="9962"/>
      </w:tblGrid>
      <w:tr w:rsidR="00F03DDD" w14:paraId="1235AA7F" w14:textId="77777777" w:rsidTr="00F03DDD">
        <w:tc>
          <w:tcPr>
            <w:tcW w:w="9962" w:type="dxa"/>
          </w:tcPr>
          <w:p w14:paraId="3F195E6E" w14:textId="488126A4" w:rsidR="00F03DDD" w:rsidRPr="00F03DDD" w:rsidRDefault="00F03DDD" w:rsidP="00F03DDD">
            <w:pPr>
              <w:spacing w:after="160" w:line="256" w:lineRule="auto"/>
              <w:contextualSpacing/>
              <w:rPr>
                <w:rFonts w:eastAsia="Malgun Gothic"/>
                <w:lang w:eastAsia="ko-KR"/>
              </w:rPr>
            </w:pPr>
            <w:r w:rsidRPr="00961813">
              <w:rPr>
                <w:rFonts w:eastAsia="Malgun Gothic"/>
                <w:highlight w:val="green"/>
                <w:lang w:eastAsia="ko-KR"/>
              </w:rPr>
              <w:t>Agreement</w:t>
            </w:r>
          </w:p>
          <w:p w14:paraId="2FDA91EC" w14:textId="39FD224B" w:rsidR="00F03DDD" w:rsidRDefault="00F03DDD" w:rsidP="00F03DDD">
            <w:pPr>
              <w:pStyle w:val="ListParagraph"/>
              <w:numPr>
                <w:ilvl w:val="0"/>
                <w:numId w:val="21"/>
              </w:numPr>
              <w:spacing w:after="160" w:line="256" w:lineRule="auto"/>
              <w:contextualSpacing/>
              <w:rPr>
                <w:rFonts w:eastAsia="Malgun Gothic"/>
                <w:lang w:eastAsia="ko-KR"/>
              </w:rPr>
            </w:pPr>
            <w:r>
              <w:rPr>
                <w:rFonts w:eastAsia="Malgun Gothic"/>
                <w:lang w:eastAsia="ko-KR"/>
              </w:rPr>
              <w:t>The maximum number of PDSCHs that can be scheduled with a single DCI in Rel-17 is 8 for SCS of 480 and 960 kHz.</w:t>
            </w:r>
          </w:p>
          <w:p w14:paraId="6F1CCD06" w14:textId="77777777" w:rsidR="00F03DDD" w:rsidRDefault="00F03DDD" w:rsidP="00F03DDD">
            <w:pPr>
              <w:pStyle w:val="ListParagraph"/>
              <w:numPr>
                <w:ilvl w:val="1"/>
                <w:numId w:val="21"/>
              </w:numPr>
              <w:spacing w:after="160" w:line="256" w:lineRule="auto"/>
              <w:contextualSpacing/>
              <w:rPr>
                <w:rFonts w:eastAsia="Malgun Gothic"/>
                <w:lang w:eastAsia="ko-KR"/>
              </w:rPr>
            </w:pPr>
            <w:r>
              <w:rPr>
                <w:rFonts w:eastAsia="Malgun Gothic"/>
                <w:lang w:eastAsia="ko-KR"/>
              </w:rPr>
              <w:t>FFS: Further restrictions for 480 kHz to 4</w:t>
            </w:r>
          </w:p>
          <w:p w14:paraId="3EF25DBC" w14:textId="77777777" w:rsidR="00F03DDD" w:rsidRDefault="00F03DDD" w:rsidP="00F03DDD">
            <w:pPr>
              <w:pStyle w:val="ListParagraph"/>
              <w:numPr>
                <w:ilvl w:val="1"/>
                <w:numId w:val="21"/>
              </w:numPr>
              <w:spacing w:after="160" w:line="256" w:lineRule="auto"/>
              <w:contextualSpacing/>
              <w:rPr>
                <w:rFonts w:eastAsia="Malgun Gothic"/>
                <w:lang w:eastAsia="ko-KR"/>
              </w:rPr>
            </w:pPr>
            <w:r>
              <w:rPr>
                <w:rFonts w:eastAsia="Malgun Gothic"/>
                <w:lang w:eastAsia="ko-KR"/>
              </w:rPr>
              <w:t>FFS: A UE capability to select between 4 and 8 for 480 kHz SCS</w:t>
            </w:r>
          </w:p>
          <w:p w14:paraId="7302C731" w14:textId="77777777" w:rsidR="00F03DDD" w:rsidRDefault="00F03DDD" w:rsidP="00F03DDD">
            <w:pPr>
              <w:pStyle w:val="ListParagraph"/>
              <w:numPr>
                <w:ilvl w:val="1"/>
                <w:numId w:val="21"/>
              </w:numPr>
              <w:spacing w:after="160" w:line="256" w:lineRule="auto"/>
              <w:contextualSpacing/>
              <w:rPr>
                <w:rFonts w:eastAsia="Malgun Gothic"/>
                <w:lang w:eastAsia="ko-KR"/>
              </w:rPr>
            </w:pPr>
            <w:r>
              <w:rPr>
                <w:rFonts w:eastAsia="Malgun Gothic"/>
                <w:lang w:eastAsia="ko-KR"/>
              </w:rPr>
              <w:t>Note: Multi-PDSCH scheduling for the case of 120 kHz SCS is still FFS as per prior agreement. This case can be addressed after this FFS has been decided.</w:t>
            </w:r>
          </w:p>
          <w:p w14:paraId="4CA09118" w14:textId="77777777" w:rsidR="00F03DDD" w:rsidRDefault="00F03DDD" w:rsidP="00F03DDD">
            <w:pPr>
              <w:pStyle w:val="ListParagraph"/>
              <w:numPr>
                <w:ilvl w:val="0"/>
                <w:numId w:val="21"/>
              </w:numPr>
              <w:spacing w:after="160" w:line="256" w:lineRule="auto"/>
              <w:contextualSpacing/>
              <w:rPr>
                <w:rFonts w:eastAsia="Malgun Gothic"/>
                <w:lang w:eastAsia="ko-KR"/>
              </w:rPr>
            </w:pPr>
            <w:r>
              <w:rPr>
                <w:rFonts w:eastAsia="Malgun Gothic"/>
                <w:lang w:eastAsia="ko-KR"/>
              </w:rPr>
              <w:t>The maximum number of PUSCHs that can be scheduled with a single DCI in Rel-17 is 8.</w:t>
            </w:r>
          </w:p>
          <w:p w14:paraId="46EB2DF2" w14:textId="77777777" w:rsidR="00F03DDD" w:rsidRDefault="00F03DDD" w:rsidP="00F03DDD">
            <w:pPr>
              <w:pStyle w:val="ListParagraph"/>
              <w:numPr>
                <w:ilvl w:val="1"/>
                <w:numId w:val="21"/>
              </w:numPr>
              <w:spacing w:after="160" w:line="256" w:lineRule="auto"/>
              <w:contextualSpacing/>
              <w:rPr>
                <w:rFonts w:eastAsia="Malgun Gothic"/>
                <w:lang w:eastAsia="ko-KR"/>
              </w:rPr>
            </w:pPr>
            <w:r>
              <w:rPr>
                <w:rFonts w:eastAsia="Malgun Gothic"/>
                <w:lang w:eastAsia="ko-KR"/>
              </w:rPr>
              <w:t>FFS: Further restrictions for 120 kHz and 480 kHz SCS</w:t>
            </w:r>
          </w:p>
          <w:p w14:paraId="00387D90" w14:textId="54EAADD8" w:rsidR="00F03DDD" w:rsidRDefault="00F03DDD" w:rsidP="00F03DDD">
            <w:pPr>
              <w:pStyle w:val="ListParagraph"/>
              <w:numPr>
                <w:ilvl w:val="1"/>
                <w:numId w:val="21"/>
              </w:numPr>
              <w:spacing w:after="160" w:line="256" w:lineRule="auto"/>
              <w:contextualSpacing/>
              <w:rPr>
                <w:lang w:eastAsia="x-none"/>
              </w:rPr>
            </w:pPr>
            <w:r>
              <w:rPr>
                <w:rFonts w:eastAsia="Malgun Gothic"/>
                <w:lang w:eastAsia="ko-KR"/>
              </w:rPr>
              <w:t>FFS: A UE capability to select between different values for 120 kHz and 480 kHz SCS</w:t>
            </w:r>
          </w:p>
        </w:tc>
      </w:tr>
    </w:tbl>
    <w:p w14:paraId="2828E7F0" w14:textId="77777777" w:rsidR="0081532F" w:rsidRDefault="0081532F" w:rsidP="0092132D">
      <w:pPr>
        <w:overflowPunct/>
        <w:autoSpaceDE/>
        <w:autoSpaceDN/>
        <w:adjustRightInd/>
        <w:spacing w:after="0"/>
        <w:jc w:val="left"/>
        <w:textAlignment w:val="auto"/>
        <w:rPr>
          <w:lang w:eastAsia="x-none"/>
        </w:rPr>
      </w:pPr>
    </w:p>
    <w:p w14:paraId="0A5231CD" w14:textId="4A15A582" w:rsidR="00B310B8" w:rsidRDefault="00B310B8" w:rsidP="00E50F0D">
      <w:pPr>
        <w:overflowPunct/>
        <w:autoSpaceDE/>
        <w:autoSpaceDN/>
        <w:adjustRightInd/>
        <w:spacing w:after="0"/>
        <w:jc w:val="left"/>
        <w:textAlignment w:val="auto"/>
        <w:rPr>
          <w:lang w:eastAsia="x-none"/>
        </w:rPr>
      </w:pPr>
      <w:r>
        <w:rPr>
          <w:lang w:eastAsia="x-none"/>
        </w:rPr>
        <w:t xml:space="preserve">The multi-PUSCH scheduling is supported as one of the features for Rel. 16 in NR-U WI, where the SCS is </w:t>
      </w:r>
      <w:r w:rsidR="008F5904">
        <w:rPr>
          <w:lang w:eastAsia="x-none"/>
        </w:rPr>
        <w:t>120 kHz or lower</w:t>
      </w:r>
      <w:r w:rsidR="00092108">
        <w:rPr>
          <w:lang w:eastAsia="x-none"/>
        </w:rPr>
        <w:t>,</w:t>
      </w:r>
      <w:r w:rsidR="0092132D">
        <w:rPr>
          <w:lang w:eastAsia="x-none"/>
        </w:rPr>
        <w:t xml:space="preserve"> and it was agreed to maximize the similarities </w:t>
      </w:r>
      <w:r w:rsidR="005E44B5">
        <w:rPr>
          <w:lang w:eastAsia="x-none"/>
        </w:rPr>
        <w:t>between multi-PDSCH and multi-PUSCH designs</w:t>
      </w:r>
      <w:r w:rsidR="008F5904">
        <w:rPr>
          <w:lang w:eastAsia="x-none"/>
        </w:rPr>
        <w:t xml:space="preserve">, therefore, we </w:t>
      </w:r>
      <w:r w:rsidR="00355379">
        <w:rPr>
          <w:lang w:eastAsia="x-none"/>
        </w:rPr>
        <w:t xml:space="preserve">believe that SCS 120kHz should be considered as well as SCS 480 and 960kHz for multi-PDSCH/PUSCH grants with as </w:t>
      </w:r>
      <w:r w:rsidR="0092132D">
        <w:rPr>
          <w:lang w:eastAsia="x-none"/>
        </w:rPr>
        <w:t xml:space="preserve">a single DCI. </w:t>
      </w:r>
      <w:r w:rsidR="00394806">
        <w:rPr>
          <w:lang w:eastAsia="x-none"/>
        </w:rPr>
        <w:t>In addition, multi-PDSCH grants should help</w:t>
      </w:r>
      <w:r w:rsidR="005C2DDD">
        <w:rPr>
          <w:lang w:eastAsia="x-none"/>
        </w:rPr>
        <w:t xml:space="preserve"> in reducing the UE processing time as </w:t>
      </w:r>
      <w:r w:rsidR="00E50F0D">
        <w:rPr>
          <w:lang w:eastAsia="x-none"/>
        </w:rPr>
        <w:t xml:space="preserve">it will reduce the </w:t>
      </w:r>
      <w:r w:rsidR="00E50F0D" w:rsidRPr="00E50F0D">
        <w:rPr>
          <w:lang w:eastAsia="x-none"/>
        </w:rPr>
        <w:t xml:space="preserve">frequent re-tuning of </w:t>
      </w:r>
      <w:r w:rsidR="00E50F0D">
        <w:rPr>
          <w:lang w:eastAsia="x-none"/>
        </w:rPr>
        <w:t xml:space="preserve">the UE hardware, e.g., </w:t>
      </w:r>
      <w:r w:rsidR="00E50F0D" w:rsidRPr="00E50F0D">
        <w:rPr>
          <w:lang w:eastAsia="x-none"/>
        </w:rPr>
        <w:t>RF</w:t>
      </w:r>
      <w:r w:rsidR="00E50F0D">
        <w:rPr>
          <w:lang w:eastAsia="x-none"/>
        </w:rPr>
        <w:t xml:space="preserve"> module. </w:t>
      </w:r>
      <w:r w:rsidR="000F23DA">
        <w:rPr>
          <w:lang w:eastAsia="x-none"/>
        </w:rPr>
        <w:t>We ha</w:t>
      </w:r>
      <w:r w:rsidR="007710F9">
        <w:rPr>
          <w:lang w:eastAsia="x-none"/>
        </w:rPr>
        <w:t>d</w:t>
      </w:r>
      <w:r w:rsidR="000F23DA">
        <w:rPr>
          <w:lang w:eastAsia="x-none"/>
        </w:rPr>
        <w:t xml:space="preserve"> more discussion on</w:t>
      </w:r>
      <w:r w:rsidR="00146957">
        <w:rPr>
          <w:lang w:eastAsia="x-none"/>
        </w:rPr>
        <w:t xml:space="preserve"> the per-slot and multi-slot PDCCH monitoring in </w:t>
      </w:r>
      <w:r w:rsidR="00146957" w:rsidRPr="00A34DED">
        <w:rPr>
          <w:lang w:eastAsia="x-none"/>
        </w:rPr>
        <w:t>[</w:t>
      </w:r>
      <w:r w:rsidR="0029765D">
        <w:rPr>
          <w:lang w:eastAsia="x-none"/>
        </w:rPr>
        <w:t>3</w:t>
      </w:r>
      <w:r w:rsidR="00146957" w:rsidRPr="00A34DED">
        <w:rPr>
          <w:lang w:eastAsia="x-none"/>
        </w:rPr>
        <w:t>].</w:t>
      </w:r>
      <w:r w:rsidR="00C22530">
        <w:rPr>
          <w:lang w:eastAsia="x-none"/>
        </w:rPr>
        <w:t xml:space="preserve"> </w:t>
      </w:r>
      <w:r w:rsidR="007710F9">
        <w:rPr>
          <w:lang w:eastAsia="x-none"/>
        </w:rPr>
        <w:t>Also, supporting</w:t>
      </w:r>
      <w:r w:rsidR="00092108">
        <w:rPr>
          <w:lang w:eastAsia="x-none"/>
        </w:rPr>
        <w:t xml:space="preserve"> a</w:t>
      </w:r>
      <w:r w:rsidR="007710F9">
        <w:rPr>
          <w:lang w:eastAsia="x-none"/>
        </w:rPr>
        <w:t xml:space="preserve"> multi-PDSCH grant, may require the UE to buffer </w:t>
      </w:r>
      <w:r w:rsidR="00ED4955">
        <w:rPr>
          <w:lang w:eastAsia="x-none"/>
        </w:rPr>
        <w:t xml:space="preserve">a significant amount of time domain samples </w:t>
      </w:r>
      <w:r w:rsidR="009737A7">
        <w:rPr>
          <w:lang w:eastAsia="x-none"/>
        </w:rPr>
        <w:t>e</w:t>
      </w:r>
      <w:r w:rsidR="00ED4955">
        <w:rPr>
          <w:lang w:eastAsia="x-none"/>
        </w:rPr>
        <w:t xml:space="preserve">specially with smaller SCS, e.g., 120kHz and 480kHz, thus the maximum number of </w:t>
      </w:r>
      <w:r w:rsidR="000440E3">
        <w:rPr>
          <w:lang w:eastAsia="x-none"/>
        </w:rPr>
        <w:t xml:space="preserve">PDSCHs/PUSCHs to be scheduled by the same DCI for these SCSs should be based on </w:t>
      </w:r>
      <w:r w:rsidR="00A44D03">
        <w:rPr>
          <w:lang w:eastAsia="x-none"/>
        </w:rPr>
        <w:t xml:space="preserve">the </w:t>
      </w:r>
      <w:r w:rsidR="000440E3">
        <w:rPr>
          <w:lang w:eastAsia="x-none"/>
        </w:rPr>
        <w:t>UE capabilit</w:t>
      </w:r>
      <w:r w:rsidR="00A44D03">
        <w:rPr>
          <w:lang w:eastAsia="x-none"/>
        </w:rPr>
        <w:t>ies.</w:t>
      </w:r>
    </w:p>
    <w:p w14:paraId="3EBE396D" w14:textId="77777777" w:rsidR="001D51C1" w:rsidRDefault="001D51C1" w:rsidP="00E50F0D">
      <w:pPr>
        <w:overflowPunct/>
        <w:autoSpaceDE/>
        <w:autoSpaceDN/>
        <w:adjustRightInd/>
        <w:spacing w:after="0"/>
        <w:jc w:val="left"/>
        <w:textAlignment w:val="auto"/>
        <w:rPr>
          <w:lang w:eastAsia="x-none"/>
        </w:rPr>
      </w:pPr>
    </w:p>
    <w:p w14:paraId="2760B94B" w14:textId="1188FD37" w:rsidR="0092132D" w:rsidRDefault="0092132D" w:rsidP="00B310B8">
      <w:pPr>
        <w:overflowPunct/>
        <w:autoSpaceDE/>
        <w:autoSpaceDN/>
        <w:adjustRightInd/>
        <w:spacing w:after="0"/>
        <w:jc w:val="left"/>
        <w:textAlignment w:val="auto"/>
        <w:rPr>
          <w:b/>
          <w:bCs/>
          <w:lang w:eastAsia="x-none"/>
        </w:rPr>
      </w:pPr>
      <w:bookmarkStart w:id="2" w:name="p1_2"/>
      <w:r w:rsidRPr="00A34DED">
        <w:rPr>
          <w:b/>
          <w:bCs/>
          <w:lang w:eastAsia="x-none"/>
        </w:rPr>
        <w:t>Proposal</w:t>
      </w:r>
      <w:r w:rsidR="00F00BEF">
        <w:rPr>
          <w:b/>
          <w:bCs/>
          <w:lang w:eastAsia="x-none"/>
        </w:rPr>
        <w:t xml:space="preserve"> </w:t>
      </w:r>
      <w:r w:rsidR="00945769">
        <w:rPr>
          <w:b/>
          <w:bCs/>
          <w:lang w:eastAsia="x-none"/>
        </w:rPr>
        <w:fldChar w:fldCharType="begin"/>
      </w:r>
      <w:r w:rsidR="00945769">
        <w:rPr>
          <w:b/>
          <w:bCs/>
          <w:lang w:eastAsia="x-none"/>
        </w:rPr>
        <w:instrText xml:space="preserve"> seq prop </w:instrText>
      </w:r>
      <w:r w:rsidR="00945769">
        <w:rPr>
          <w:b/>
          <w:bCs/>
          <w:lang w:eastAsia="x-none"/>
        </w:rPr>
        <w:fldChar w:fldCharType="separate"/>
      </w:r>
      <w:r w:rsidR="00355263">
        <w:rPr>
          <w:b/>
          <w:bCs/>
          <w:noProof/>
          <w:lang w:eastAsia="x-none"/>
        </w:rPr>
        <w:t>1</w:t>
      </w:r>
      <w:r w:rsidR="00945769">
        <w:rPr>
          <w:b/>
          <w:bCs/>
          <w:lang w:eastAsia="x-none"/>
        </w:rPr>
        <w:fldChar w:fldCharType="end"/>
      </w:r>
      <w:r w:rsidR="005E44B5" w:rsidRPr="00A34DED">
        <w:rPr>
          <w:b/>
          <w:bCs/>
          <w:lang w:eastAsia="x-none"/>
        </w:rPr>
        <w:t>: Multi</w:t>
      </w:r>
      <w:r w:rsidR="00B8616C" w:rsidRPr="00A34DED">
        <w:rPr>
          <w:b/>
          <w:bCs/>
          <w:lang w:eastAsia="x-none"/>
        </w:rPr>
        <w:t>-</w:t>
      </w:r>
      <w:r w:rsidR="005E44B5" w:rsidRPr="00A34DED">
        <w:rPr>
          <w:b/>
          <w:bCs/>
          <w:lang w:eastAsia="x-none"/>
        </w:rPr>
        <w:t>P</w:t>
      </w:r>
      <w:r w:rsidR="00295413" w:rsidRPr="00A34DED">
        <w:rPr>
          <w:b/>
          <w:bCs/>
          <w:lang w:eastAsia="x-none"/>
        </w:rPr>
        <w:t>DSCH</w:t>
      </w:r>
      <w:r w:rsidR="008B6CD0">
        <w:rPr>
          <w:b/>
          <w:bCs/>
          <w:lang w:eastAsia="x-none"/>
        </w:rPr>
        <w:t xml:space="preserve"> or multi-PUSCH</w:t>
      </w:r>
      <w:r w:rsidR="00295413" w:rsidRPr="00A34DED">
        <w:rPr>
          <w:b/>
          <w:bCs/>
          <w:lang w:eastAsia="x-none"/>
        </w:rPr>
        <w:t xml:space="preserve"> scheduling</w:t>
      </w:r>
      <w:r w:rsidR="00B8616C" w:rsidRPr="00A34DED">
        <w:rPr>
          <w:b/>
          <w:bCs/>
          <w:lang w:eastAsia="x-none"/>
        </w:rPr>
        <w:t xml:space="preserve"> with the same DCI</w:t>
      </w:r>
      <w:r w:rsidR="00295413" w:rsidRPr="00A34DED">
        <w:rPr>
          <w:b/>
          <w:bCs/>
          <w:lang w:eastAsia="x-none"/>
        </w:rPr>
        <w:t xml:space="preserve"> should be appli</w:t>
      </w:r>
      <w:r w:rsidR="00473792">
        <w:rPr>
          <w:b/>
          <w:bCs/>
          <w:lang w:eastAsia="x-none"/>
        </w:rPr>
        <w:t>cable to</w:t>
      </w:r>
      <w:r w:rsidR="00295413" w:rsidRPr="00A34DED">
        <w:rPr>
          <w:b/>
          <w:bCs/>
          <w:lang w:eastAsia="x-none"/>
        </w:rPr>
        <w:t xml:space="preserve"> 120</w:t>
      </w:r>
      <w:r w:rsidR="00295413">
        <w:rPr>
          <w:b/>
          <w:bCs/>
          <w:lang w:eastAsia="x-none"/>
        </w:rPr>
        <w:t>kHz</w:t>
      </w:r>
      <w:r w:rsidR="00295413" w:rsidRPr="00A34DED">
        <w:rPr>
          <w:b/>
          <w:bCs/>
          <w:lang w:eastAsia="x-none"/>
        </w:rPr>
        <w:t xml:space="preserve"> as well as 480 and 960</w:t>
      </w:r>
      <w:r w:rsidR="00295413">
        <w:rPr>
          <w:b/>
          <w:bCs/>
          <w:lang w:eastAsia="x-none"/>
        </w:rPr>
        <w:t>kHz</w:t>
      </w:r>
      <w:r w:rsidR="00473792">
        <w:rPr>
          <w:b/>
          <w:bCs/>
          <w:lang w:eastAsia="x-none"/>
        </w:rPr>
        <w:t xml:space="preserve">, though </w:t>
      </w:r>
      <w:r w:rsidR="009F3BC8">
        <w:rPr>
          <w:b/>
          <w:bCs/>
          <w:lang w:eastAsia="x-none"/>
        </w:rPr>
        <w:t>we don’t need to introduce multi-slot monitoring capability for 120KH</w:t>
      </w:r>
      <w:r w:rsidR="005459BD">
        <w:rPr>
          <w:b/>
          <w:bCs/>
          <w:lang w:eastAsia="x-none"/>
        </w:rPr>
        <w:t xml:space="preserve">z. </w:t>
      </w:r>
    </w:p>
    <w:p w14:paraId="51098AF9" w14:textId="77777777" w:rsidR="005459BD" w:rsidRDefault="005459BD" w:rsidP="00B310B8">
      <w:pPr>
        <w:overflowPunct/>
        <w:autoSpaceDE/>
        <w:autoSpaceDN/>
        <w:adjustRightInd/>
        <w:spacing w:after="0"/>
        <w:jc w:val="left"/>
        <w:textAlignment w:val="auto"/>
        <w:rPr>
          <w:b/>
          <w:bCs/>
          <w:lang w:eastAsia="x-none"/>
        </w:rPr>
      </w:pPr>
    </w:p>
    <w:p w14:paraId="2FDEF7FA" w14:textId="3B0AC752" w:rsidR="005459BD" w:rsidRDefault="005459BD" w:rsidP="00B310B8">
      <w:pPr>
        <w:overflowPunct/>
        <w:autoSpaceDE/>
        <w:autoSpaceDN/>
        <w:adjustRightInd/>
        <w:spacing w:after="0"/>
        <w:jc w:val="left"/>
        <w:textAlignment w:val="auto"/>
        <w:rPr>
          <w:b/>
          <w:bCs/>
          <w:lang w:eastAsia="x-none"/>
        </w:rPr>
      </w:pPr>
      <w:r>
        <w:rPr>
          <w:b/>
          <w:bCs/>
          <w:lang w:eastAsia="x-none"/>
        </w:rPr>
        <w:t>Proposal</w:t>
      </w:r>
      <w:r w:rsidR="00945769">
        <w:rPr>
          <w:b/>
          <w:bCs/>
          <w:lang w:eastAsia="x-none"/>
        </w:rPr>
        <w:t xml:space="preserve"> </w:t>
      </w:r>
      <w:r w:rsidR="00945769">
        <w:rPr>
          <w:b/>
          <w:bCs/>
          <w:lang w:eastAsia="x-none"/>
        </w:rPr>
        <w:fldChar w:fldCharType="begin"/>
      </w:r>
      <w:r w:rsidR="00945769">
        <w:rPr>
          <w:b/>
          <w:bCs/>
          <w:lang w:eastAsia="x-none"/>
        </w:rPr>
        <w:instrText xml:space="preserve"> seq prop </w:instrText>
      </w:r>
      <w:r w:rsidR="00945769">
        <w:rPr>
          <w:b/>
          <w:bCs/>
          <w:lang w:eastAsia="x-none"/>
        </w:rPr>
        <w:fldChar w:fldCharType="separate"/>
      </w:r>
      <w:r w:rsidR="00355263">
        <w:rPr>
          <w:b/>
          <w:bCs/>
          <w:noProof/>
          <w:lang w:eastAsia="x-none"/>
        </w:rPr>
        <w:t>2</w:t>
      </w:r>
      <w:r w:rsidR="00945769">
        <w:rPr>
          <w:b/>
          <w:bCs/>
          <w:lang w:eastAsia="x-none"/>
        </w:rPr>
        <w:fldChar w:fldCharType="end"/>
      </w:r>
      <w:r>
        <w:rPr>
          <w:b/>
          <w:bCs/>
          <w:lang w:eastAsia="x-none"/>
        </w:rPr>
        <w:t xml:space="preserve">: A UE capability </w:t>
      </w:r>
      <w:r w:rsidR="005C3C56">
        <w:rPr>
          <w:b/>
          <w:bCs/>
          <w:lang w:eastAsia="x-none"/>
        </w:rPr>
        <w:t>to</w:t>
      </w:r>
      <w:r>
        <w:rPr>
          <w:b/>
          <w:bCs/>
          <w:lang w:eastAsia="x-none"/>
        </w:rPr>
        <w:t xml:space="preserve"> be defined per SCS, to indicate the maximum number of supported PDSCHs/PUSCHs per single DCI</w:t>
      </w:r>
      <w:r w:rsidR="005C3C56">
        <w:rPr>
          <w:b/>
          <w:bCs/>
          <w:lang w:eastAsia="x-none"/>
        </w:rPr>
        <w:t xml:space="preserve"> for SCS 120kHz and 480kHz.</w:t>
      </w:r>
    </w:p>
    <w:bookmarkEnd w:id="2"/>
    <w:p w14:paraId="737466CD" w14:textId="23342CB5" w:rsidR="00ED2559" w:rsidRDefault="00ED2559" w:rsidP="00F2730C">
      <w:pPr>
        <w:pStyle w:val="Heading2"/>
        <w:rPr>
          <w:rFonts w:eastAsia="Malgun Gothic"/>
        </w:rPr>
      </w:pPr>
      <w:r>
        <w:t>HARQ-ACK enhancements</w:t>
      </w:r>
    </w:p>
    <w:p w14:paraId="4600E8E8" w14:textId="5367CF25" w:rsidR="0043452B" w:rsidRPr="0043452B" w:rsidRDefault="0043452B" w:rsidP="00506933">
      <w:pPr>
        <w:overflowPunct/>
        <w:autoSpaceDE/>
        <w:autoSpaceDN/>
        <w:adjustRightInd/>
        <w:spacing w:after="0"/>
        <w:textAlignment w:val="auto"/>
        <w:rPr>
          <w:lang w:eastAsia="x-none"/>
        </w:rPr>
      </w:pPr>
      <w:r w:rsidRPr="0043452B">
        <w:rPr>
          <w:lang w:eastAsia="x-none"/>
        </w:rPr>
        <w:t>In the current NR</w:t>
      </w:r>
      <w:r>
        <w:rPr>
          <w:lang w:eastAsia="x-none"/>
        </w:rPr>
        <w:t xml:space="preserve"> specs</w:t>
      </w:r>
      <w:r w:rsidRPr="0043452B">
        <w:rPr>
          <w:lang w:eastAsia="x-none"/>
        </w:rPr>
        <w:t>, there are up to 16 HARQ processes,</w:t>
      </w:r>
      <w:r>
        <w:rPr>
          <w:lang w:eastAsia="x-none"/>
        </w:rPr>
        <w:t xml:space="preserve"> except for </w:t>
      </w:r>
      <w:r w:rsidR="003C72ED">
        <w:rPr>
          <w:lang w:eastAsia="x-none"/>
        </w:rPr>
        <w:t xml:space="preserve">the </w:t>
      </w:r>
      <w:r>
        <w:rPr>
          <w:lang w:eastAsia="x-none"/>
        </w:rPr>
        <w:t xml:space="preserve">NTN use case, there are up to 32 HARQ processes. </w:t>
      </w:r>
    </w:p>
    <w:p w14:paraId="19E135EC" w14:textId="16D41606" w:rsidR="007B4443" w:rsidRDefault="0043452B" w:rsidP="004F6091">
      <w:pPr>
        <w:overflowPunct/>
        <w:autoSpaceDE/>
        <w:autoSpaceDN/>
        <w:adjustRightInd/>
        <w:spacing w:after="0"/>
        <w:textAlignment w:val="auto"/>
        <w:rPr>
          <w:lang w:eastAsia="x-none"/>
        </w:rPr>
      </w:pPr>
      <w:r w:rsidRPr="0043452B">
        <w:rPr>
          <w:lang w:eastAsia="x-none"/>
        </w:rPr>
        <w:t>With larger SCS, such as 480</w:t>
      </w:r>
      <w:r w:rsidR="006657A3">
        <w:rPr>
          <w:lang w:eastAsia="x-none"/>
        </w:rPr>
        <w:t xml:space="preserve"> and </w:t>
      </w:r>
      <w:r w:rsidRPr="0043452B">
        <w:rPr>
          <w:lang w:eastAsia="x-none"/>
        </w:rPr>
        <w:t xml:space="preserve">960KHz, given 5ms maximum COT, </w:t>
      </w:r>
      <w:r w:rsidR="006657A3">
        <w:rPr>
          <w:lang w:eastAsia="x-none"/>
        </w:rPr>
        <w:t>each COT can cover</w:t>
      </w:r>
      <w:r w:rsidRPr="0043452B">
        <w:rPr>
          <w:lang w:eastAsia="x-none"/>
        </w:rPr>
        <w:t xml:space="preserve"> 160</w:t>
      </w:r>
      <w:r w:rsidR="006657A3">
        <w:rPr>
          <w:lang w:eastAsia="x-none"/>
        </w:rPr>
        <w:t xml:space="preserve"> </w:t>
      </w:r>
      <w:r w:rsidRPr="0043452B">
        <w:rPr>
          <w:lang w:eastAsia="x-none"/>
        </w:rPr>
        <w:t>slots</w:t>
      </w:r>
      <w:r w:rsidR="006657A3">
        <w:rPr>
          <w:lang w:eastAsia="x-none"/>
        </w:rPr>
        <w:t xml:space="preserve"> </w:t>
      </w:r>
      <w:r w:rsidR="001746CB">
        <w:rPr>
          <w:lang w:eastAsia="x-none"/>
        </w:rPr>
        <w:t xml:space="preserve">of SCS 480kHz or 320 slots of SCS </w:t>
      </w:r>
      <w:r w:rsidR="003B10A7">
        <w:rPr>
          <w:lang w:eastAsia="x-none"/>
        </w:rPr>
        <w:t>96</w:t>
      </w:r>
      <w:r w:rsidR="001746CB">
        <w:rPr>
          <w:lang w:eastAsia="x-none"/>
        </w:rPr>
        <w:t>0kHz.</w:t>
      </w:r>
      <w:r w:rsidRPr="0043452B">
        <w:rPr>
          <w:lang w:eastAsia="x-none"/>
        </w:rPr>
        <w:t xml:space="preserve">With 16 HARQ processes, it might be needed to insert PUCCH every 5 slots, which will lead to 32/64 UL/DL switching within the 5ms, i.e., large overhead. </w:t>
      </w:r>
      <w:r w:rsidR="004F6091">
        <w:rPr>
          <w:lang w:eastAsia="x-none"/>
        </w:rPr>
        <w:t xml:space="preserve"> </w:t>
      </w:r>
      <w:r w:rsidRPr="0043452B">
        <w:rPr>
          <w:lang w:eastAsia="x-none"/>
        </w:rPr>
        <w:t xml:space="preserve">To allow transmission for </w:t>
      </w:r>
      <w:r w:rsidR="003C72ED">
        <w:rPr>
          <w:lang w:eastAsia="x-none"/>
        </w:rPr>
        <w:t xml:space="preserve">a </w:t>
      </w:r>
      <w:r w:rsidRPr="0043452B">
        <w:rPr>
          <w:lang w:eastAsia="x-none"/>
        </w:rPr>
        <w:t>larger number of slots without feedback,</w:t>
      </w:r>
      <w:r w:rsidR="004F6091">
        <w:rPr>
          <w:lang w:eastAsia="x-none"/>
        </w:rPr>
        <w:t xml:space="preserve"> one proposed solution is to </w:t>
      </w:r>
      <w:r w:rsidRPr="0043452B">
        <w:rPr>
          <w:lang w:eastAsia="x-none"/>
        </w:rPr>
        <w:t>increase the number of HARQ processes</w:t>
      </w:r>
      <w:r w:rsidR="004F6091">
        <w:rPr>
          <w:lang w:eastAsia="x-none"/>
        </w:rPr>
        <w:t xml:space="preserve"> to 32</w:t>
      </w:r>
      <w:r w:rsidRPr="0043452B">
        <w:rPr>
          <w:lang w:eastAsia="x-none"/>
        </w:rPr>
        <w:t>.</w:t>
      </w:r>
      <w:r w:rsidR="004F6091">
        <w:rPr>
          <w:lang w:eastAsia="x-none"/>
        </w:rPr>
        <w:t xml:space="preserve"> </w:t>
      </w:r>
      <w:r w:rsidRPr="0043452B">
        <w:rPr>
          <w:lang w:eastAsia="x-none"/>
        </w:rPr>
        <w:t>However, this may require the UE to maintain a larger soft buffer</w:t>
      </w:r>
      <w:r w:rsidR="004F6091">
        <w:rPr>
          <w:lang w:eastAsia="x-none"/>
        </w:rPr>
        <w:t xml:space="preserve"> which may be problematic based on the UE capabilities. </w:t>
      </w:r>
      <w:r w:rsidR="00D17A57">
        <w:rPr>
          <w:lang w:eastAsia="x-none"/>
        </w:rPr>
        <w:t>Therefore, a higher number of HARQ processes</w:t>
      </w:r>
      <w:r w:rsidR="00284A85">
        <w:rPr>
          <w:lang w:eastAsia="x-none"/>
        </w:rPr>
        <w:t xml:space="preserve"> </w:t>
      </w:r>
      <w:r w:rsidR="009D7CF1">
        <w:rPr>
          <w:lang w:eastAsia="x-none"/>
        </w:rPr>
        <w:t>(X)</w:t>
      </w:r>
      <w:r w:rsidR="00D17A57">
        <w:rPr>
          <w:lang w:eastAsia="x-none"/>
        </w:rPr>
        <w:t xml:space="preserve"> can be supported based on </w:t>
      </w:r>
      <w:r w:rsidR="00284A85">
        <w:rPr>
          <w:lang w:eastAsia="x-none"/>
        </w:rPr>
        <w:t>the UE capability</w:t>
      </w:r>
      <w:r w:rsidR="003C72ED">
        <w:rPr>
          <w:lang w:eastAsia="x-none"/>
        </w:rPr>
        <w:t>,</w:t>
      </w:r>
      <w:r w:rsidR="00284A85">
        <w:rPr>
          <w:lang w:eastAsia="x-none"/>
        </w:rPr>
        <w:t xml:space="preserve"> and also a subset of supported HARQ processes can be supported </w:t>
      </w:r>
      <w:r w:rsidR="009D7CF1">
        <w:rPr>
          <w:lang w:eastAsia="x-none"/>
        </w:rPr>
        <w:t>with soft combining (Y), where Y</w:t>
      </w:r>
      <w:r w:rsidR="00C504BA">
        <w:rPr>
          <w:lang w:eastAsia="x-none"/>
        </w:rPr>
        <w:t xml:space="preserve"> ≤ </w:t>
      </w:r>
      <w:r w:rsidR="009D7CF1">
        <w:rPr>
          <w:lang w:eastAsia="x-none"/>
        </w:rPr>
        <w:t xml:space="preserve">X. For the subset of HARQ processes without soft combining, gNB can always </w:t>
      </w:r>
      <w:r w:rsidR="0026426C">
        <w:rPr>
          <w:lang w:eastAsia="x-none"/>
        </w:rPr>
        <w:t xml:space="preserve">transmit a self-decodable redundancy version of the </w:t>
      </w:r>
      <w:r w:rsidR="004F1D1B">
        <w:rPr>
          <w:lang w:eastAsia="x-none"/>
        </w:rPr>
        <w:t xml:space="preserve">code, e.g., one with RVID 0 or 3. </w:t>
      </w:r>
    </w:p>
    <w:p w14:paraId="68DE70C8" w14:textId="77777777" w:rsidR="009D7CF1" w:rsidRPr="0043452B" w:rsidRDefault="009D7CF1" w:rsidP="004F6091">
      <w:pPr>
        <w:overflowPunct/>
        <w:autoSpaceDE/>
        <w:autoSpaceDN/>
        <w:adjustRightInd/>
        <w:spacing w:after="0"/>
        <w:textAlignment w:val="auto"/>
        <w:rPr>
          <w:lang w:eastAsia="x-none"/>
        </w:rPr>
      </w:pPr>
    </w:p>
    <w:p w14:paraId="01499D3B" w14:textId="554F4AE9" w:rsidR="003678A6" w:rsidRDefault="00360B63" w:rsidP="007B4443">
      <w:pPr>
        <w:rPr>
          <w:b/>
          <w:bCs/>
          <w:lang w:eastAsia="x-none"/>
        </w:rPr>
      </w:pPr>
      <w:bookmarkStart w:id="3" w:name="p3"/>
      <w:r>
        <w:rPr>
          <w:b/>
          <w:bCs/>
          <w:lang w:eastAsia="x-none"/>
        </w:rPr>
        <w:t>P</w:t>
      </w:r>
      <w:r w:rsidR="00ED4021">
        <w:rPr>
          <w:b/>
          <w:bCs/>
          <w:lang w:eastAsia="x-none"/>
        </w:rPr>
        <w:t>roposal</w:t>
      </w:r>
      <w:r w:rsidR="00C435B4">
        <w:rPr>
          <w:b/>
          <w:bCs/>
          <w:lang w:eastAsia="x-none"/>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3</w:t>
      </w:r>
      <w:r w:rsidR="00C435B4">
        <w:rPr>
          <w:b/>
          <w:bCs/>
          <w:lang w:eastAsia="x-none"/>
        </w:rPr>
        <w:fldChar w:fldCharType="end"/>
      </w:r>
      <w:r w:rsidR="00ED4021">
        <w:rPr>
          <w:b/>
          <w:bCs/>
          <w:lang w:eastAsia="x-none"/>
        </w:rPr>
        <w:t xml:space="preserve">: </w:t>
      </w:r>
      <w:r w:rsidR="004F6091">
        <w:rPr>
          <w:b/>
          <w:bCs/>
          <w:lang w:eastAsia="x-none"/>
        </w:rPr>
        <w:t xml:space="preserve">In </w:t>
      </w:r>
      <w:r w:rsidR="003C72ED">
        <w:rPr>
          <w:b/>
          <w:bCs/>
          <w:lang w:eastAsia="x-none"/>
        </w:rPr>
        <w:t xml:space="preserve">the </w:t>
      </w:r>
      <w:r w:rsidR="004F6091">
        <w:rPr>
          <w:b/>
          <w:bCs/>
          <w:lang w:eastAsia="x-none"/>
        </w:rPr>
        <w:t>case of increasing the HARQ processes to 32</w:t>
      </w:r>
      <w:r w:rsidR="007878DB">
        <w:rPr>
          <w:b/>
          <w:bCs/>
          <w:lang w:eastAsia="x-none"/>
        </w:rPr>
        <w:t xml:space="preserve"> for SC</w:t>
      </w:r>
      <w:r w:rsidR="00421D70">
        <w:rPr>
          <w:b/>
          <w:bCs/>
          <w:lang w:eastAsia="x-none"/>
        </w:rPr>
        <w:t>Ss 480kHz and 960kHz</w:t>
      </w:r>
      <w:r w:rsidR="004F6091">
        <w:rPr>
          <w:b/>
          <w:bCs/>
          <w:lang w:eastAsia="x-none"/>
        </w:rPr>
        <w:t>, a</w:t>
      </w:r>
      <w:r w:rsidR="007B4443" w:rsidRPr="007B4443">
        <w:rPr>
          <w:b/>
          <w:bCs/>
          <w:lang w:eastAsia="x-none"/>
        </w:rPr>
        <w:t xml:space="preserve"> UE capability </w:t>
      </w:r>
      <w:r w:rsidR="004F6091">
        <w:rPr>
          <w:b/>
          <w:bCs/>
          <w:lang w:eastAsia="x-none"/>
        </w:rPr>
        <w:t>should be</w:t>
      </w:r>
      <w:r w:rsidR="007B4443" w:rsidRPr="007B4443">
        <w:rPr>
          <w:b/>
          <w:bCs/>
          <w:lang w:eastAsia="x-none"/>
        </w:rPr>
        <w:t xml:space="preserve"> defined such that X HARQ process</w:t>
      </w:r>
      <w:r w:rsidR="00B52718">
        <w:rPr>
          <w:b/>
          <w:bCs/>
          <w:lang w:eastAsia="x-none"/>
        </w:rPr>
        <w:t>es can be</w:t>
      </w:r>
      <w:r w:rsidR="007B4443" w:rsidRPr="007B4443">
        <w:rPr>
          <w:b/>
          <w:bCs/>
          <w:lang w:eastAsia="x-none"/>
        </w:rPr>
        <w:t xml:space="preserve"> supported, and Y of them can do soft combining</w:t>
      </w:r>
      <w:r w:rsidR="003678A6">
        <w:rPr>
          <w:b/>
          <w:bCs/>
          <w:lang w:eastAsia="x-none"/>
        </w:rPr>
        <w:t xml:space="preserve"> where X and Y </w:t>
      </w:r>
      <w:r w:rsidR="00F4456A">
        <w:rPr>
          <w:b/>
          <w:bCs/>
          <w:lang w:eastAsia="x-none"/>
        </w:rPr>
        <w:t xml:space="preserve">≥ </w:t>
      </w:r>
      <w:r w:rsidR="003678A6">
        <w:rPr>
          <w:b/>
          <w:bCs/>
          <w:lang w:eastAsia="x-none"/>
        </w:rPr>
        <w:t xml:space="preserve">16. </w:t>
      </w:r>
    </w:p>
    <w:bookmarkEnd w:id="3"/>
    <w:p w14:paraId="529C2F53" w14:textId="06BCDE18" w:rsidR="0043452B" w:rsidRDefault="0043452B" w:rsidP="0043452B">
      <w:pPr>
        <w:overflowPunct/>
        <w:autoSpaceDE/>
        <w:autoSpaceDN/>
        <w:adjustRightInd/>
        <w:spacing w:after="0"/>
        <w:jc w:val="left"/>
        <w:textAlignment w:val="auto"/>
        <w:rPr>
          <w:lang w:eastAsia="x-none"/>
        </w:rPr>
      </w:pPr>
      <w:r>
        <w:rPr>
          <w:rFonts w:eastAsia="Malgun Gothic"/>
        </w:rPr>
        <w:t xml:space="preserve">In order to simplify the UE processing, we do not support allowing </w:t>
      </w:r>
      <w:r w:rsidRPr="00AA61D4">
        <w:rPr>
          <w:lang w:eastAsia="x-none"/>
        </w:rPr>
        <w:t xml:space="preserve">HARQ-ACK information corresponding to different PDSCHs scheduled by the DCI </w:t>
      </w:r>
      <w:r>
        <w:rPr>
          <w:lang w:eastAsia="x-none"/>
        </w:rPr>
        <w:t>to</w:t>
      </w:r>
      <w:r w:rsidRPr="00AA61D4">
        <w:rPr>
          <w:lang w:eastAsia="x-none"/>
        </w:rPr>
        <w:t xml:space="preserve"> be carried by different PUCCH</w:t>
      </w:r>
      <w:r>
        <w:rPr>
          <w:lang w:eastAsia="x-none"/>
        </w:rPr>
        <w:t xml:space="preserve">s. </w:t>
      </w:r>
      <w:r w:rsidR="00CD393A">
        <w:rPr>
          <w:lang w:eastAsia="x-none"/>
        </w:rPr>
        <w:t xml:space="preserve">In addition, we do not believe there will be </w:t>
      </w:r>
      <w:r w:rsidR="00CB6AAD">
        <w:rPr>
          <w:lang w:eastAsia="x-none"/>
        </w:rPr>
        <w:t xml:space="preserve">a </w:t>
      </w:r>
      <w:r w:rsidR="00CD393A">
        <w:rPr>
          <w:lang w:eastAsia="x-none"/>
        </w:rPr>
        <w:t xml:space="preserve">significant reduction </w:t>
      </w:r>
      <w:r w:rsidR="001A5E0F">
        <w:rPr>
          <w:lang w:eastAsia="x-none"/>
        </w:rPr>
        <w:t xml:space="preserve">in the latency by allowing some of the PDSCHs to be feedbacked before the remaining </w:t>
      </w:r>
      <w:r w:rsidR="008F04C6">
        <w:rPr>
          <w:lang w:eastAsia="x-none"/>
        </w:rPr>
        <w:t xml:space="preserve">PDSCHs scheduled by the same DCI, as </w:t>
      </w:r>
      <w:r w:rsidR="003B10A7">
        <w:rPr>
          <w:lang w:eastAsia="x-none"/>
        </w:rPr>
        <w:t xml:space="preserve">the timeline N1 is expected to cover multiple slots </w:t>
      </w:r>
      <w:r w:rsidR="008B78F3">
        <w:rPr>
          <w:lang w:eastAsia="x-none"/>
        </w:rPr>
        <w:t>for SCS 480kHz and 960kHz</w:t>
      </w:r>
      <w:r w:rsidR="007C55AC">
        <w:rPr>
          <w:lang w:eastAsia="x-none"/>
        </w:rPr>
        <w:t xml:space="preserve">. For example, with 960kHz, N1 will be around 11 slots, using SCS 120kHz </w:t>
      </w:r>
      <w:r w:rsidR="00B05F81">
        <w:rPr>
          <w:lang w:eastAsia="x-none"/>
        </w:rPr>
        <w:t>absolute timeline as a baseline. With 8 PDSCHs at maximum scheduled by the same DCI,</w:t>
      </w:r>
      <w:r w:rsidR="009E4F3F">
        <w:rPr>
          <w:lang w:eastAsia="x-none"/>
        </w:rPr>
        <w:t xml:space="preserve"> the offset between any PDSCH reception and its feedback has to be larger than N1, i.e., 11 slots, i.e., </w:t>
      </w:r>
      <w:r w:rsidR="005D33BE">
        <w:rPr>
          <w:lang w:eastAsia="x-none"/>
        </w:rPr>
        <w:t xml:space="preserve">counting this offset from a slot of PDCSH at the middle </w:t>
      </w:r>
      <w:r w:rsidR="00125AB1">
        <w:rPr>
          <w:lang w:eastAsia="x-none"/>
        </w:rPr>
        <w:t xml:space="preserve">of the allocation </w:t>
      </w:r>
      <w:r w:rsidR="005D33BE">
        <w:rPr>
          <w:lang w:eastAsia="x-none"/>
        </w:rPr>
        <w:t xml:space="preserve">or the </w:t>
      </w:r>
      <w:r w:rsidR="00125AB1">
        <w:rPr>
          <w:lang w:eastAsia="x-none"/>
        </w:rPr>
        <w:t xml:space="preserve">slot of the </w:t>
      </w:r>
      <w:r w:rsidR="005D33BE">
        <w:rPr>
          <w:lang w:eastAsia="x-none"/>
        </w:rPr>
        <w:t xml:space="preserve">last PDSCH will not lead to </w:t>
      </w:r>
      <w:r w:rsidR="00125AB1">
        <w:rPr>
          <w:lang w:eastAsia="x-none"/>
        </w:rPr>
        <w:t xml:space="preserve">a </w:t>
      </w:r>
      <w:r w:rsidR="005D33BE">
        <w:rPr>
          <w:lang w:eastAsia="x-none"/>
        </w:rPr>
        <w:t xml:space="preserve">significant reduction in the latency of the feedback. For example, if we allow the first 4 PDSCHs to be feedback separately before </w:t>
      </w:r>
      <w:r w:rsidR="00BF0907">
        <w:rPr>
          <w:lang w:eastAsia="x-none"/>
        </w:rPr>
        <w:t>the last 4 PDSCHs, the first feedback will be transmitted at most 4 slots before the second feedback</w:t>
      </w:r>
      <w:r w:rsidR="00807CD3">
        <w:rPr>
          <w:lang w:eastAsia="x-none"/>
        </w:rPr>
        <w:t xml:space="preserve">, this will count for </w:t>
      </w:r>
      <w:r w:rsidR="001165E9">
        <w:rPr>
          <w:lang w:eastAsia="x-none"/>
        </w:rPr>
        <w:t xml:space="preserve">~56us </w:t>
      </w:r>
      <w:r w:rsidR="00756969">
        <w:rPr>
          <w:lang w:eastAsia="x-none"/>
        </w:rPr>
        <w:t xml:space="preserve">latency enhancement for SCS 960kHz which is not significant. Therefore, we do not see a substantial gain from </w:t>
      </w:r>
      <w:r w:rsidR="00111E32">
        <w:rPr>
          <w:lang w:eastAsia="x-none"/>
        </w:rPr>
        <w:t>allowing the HARQ-ACK information corresponding to different PDSCHs scheduled by the same DCI to be carried by more than one PUCCH</w:t>
      </w:r>
      <w:r w:rsidR="00E512F4">
        <w:rPr>
          <w:lang w:eastAsia="x-none"/>
        </w:rPr>
        <w:t xml:space="preserve">, especially when additional control overhead </w:t>
      </w:r>
      <w:r w:rsidR="00A32BE5">
        <w:rPr>
          <w:lang w:eastAsia="x-none"/>
        </w:rPr>
        <w:t xml:space="preserve">(more fields in DCI, and more PUCCH transmission) </w:t>
      </w:r>
      <w:r w:rsidR="00E512F4">
        <w:rPr>
          <w:lang w:eastAsia="x-none"/>
        </w:rPr>
        <w:t xml:space="preserve">is needed </w:t>
      </w:r>
      <w:r w:rsidR="00125D2E">
        <w:rPr>
          <w:lang w:eastAsia="x-none"/>
        </w:rPr>
        <w:t>to support the feature.</w:t>
      </w:r>
      <w:r w:rsidR="006D63AE">
        <w:rPr>
          <w:lang w:eastAsia="x-none"/>
        </w:rPr>
        <w:br/>
      </w:r>
    </w:p>
    <w:p w14:paraId="4CD05B6B" w14:textId="74DDE2E6" w:rsidR="0043452B" w:rsidRDefault="0043452B" w:rsidP="0043452B">
      <w:pPr>
        <w:overflowPunct/>
        <w:autoSpaceDE/>
        <w:autoSpaceDN/>
        <w:adjustRightInd/>
        <w:spacing w:after="0"/>
        <w:jc w:val="left"/>
        <w:textAlignment w:val="auto"/>
        <w:rPr>
          <w:b/>
          <w:bCs/>
          <w:lang w:eastAsia="x-none"/>
        </w:rPr>
      </w:pPr>
      <w:bookmarkStart w:id="4" w:name="p4"/>
      <w:r w:rsidRPr="00A34DED">
        <w:rPr>
          <w:b/>
          <w:bCs/>
          <w:lang w:eastAsia="x-none"/>
        </w:rPr>
        <w:t>Proposal</w:t>
      </w:r>
      <w:r w:rsidR="00C435B4">
        <w:rPr>
          <w:b/>
          <w:bCs/>
          <w:lang w:eastAsia="x-none"/>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4</w:t>
      </w:r>
      <w:r w:rsidR="00C435B4">
        <w:rPr>
          <w:b/>
          <w:bCs/>
          <w:lang w:eastAsia="x-none"/>
        </w:rPr>
        <w:fldChar w:fldCharType="end"/>
      </w:r>
      <w:r w:rsidRPr="00A34DED">
        <w:rPr>
          <w:b/>
          <w:bCs/>
          <w:lang w:eastAsia="x-none"/>
        </w:rPr>
        <w:t>: All HARQ-ACK information corresponding to different PDSCHs scheduled by the same DCI to be carried by the same PUCCH.</w:t>
      </w:r>
    </w:p>
    <w:bookmarkEnd w:id="4"/>
    <w:p w14:paraId="58C503D3" w14:textId="775F7691" w:rsidR="008F67DB" w:rsidRDefault="007112C3" w:rsidP="00F2730C">
      <w:pPr>
        <w:pStyle w:val="Heading3"/>
      </w:pPr>
      <w:r>
        <w:t>Type</w:t>
      </w:r>
      <w:r w:rsidR="00DE6FD4">
        <w:t xml:space="preserve">-1 HARQ-ACK codebook enhancements </w:t>
      </w:r>
    </w:p>
    <w:p w14:paraId="5FE23F93" w14:textId="2D39E186" w:rsidR="00DE6FD4" w:rsidRPr="006D13B3" w:rsidRDefault="006D13B3" w:rsidP="00DE6FD4">
      <w:pPr>
        <w:overflowPunct/>
        <w:autoSpaceDE/>
        <w:autoSpaceDN/>
        <w:adjustRightInd/>
        <w:spacing w:after="0"/>
        <w:jc w:val="left"/>
        <w:textAlignment w:val="auto"/>
        <w:rPr>
          <w:lang w:eastAsia="x-none"/>
        </w:rPr>
      </w:pPr>
      <w:r w:rsidRPr="006D13B3">
        <w:rPr>
          <w:lang w:eastAsia="x-none"/>
        </w:rPr>
        <w:t xml:space="preserve">In </w:t>
      </w:r>
      <w:r>
        <w:rPr>
          <w:lang w:eastAsia="x-none"/>
        </w:rPr>
        <w:t xml:space="preserve">RAN1 #104-bis-e, the following agreement was made for type-1 HARQ-ACK codebook for multi-PDSCH grant via a single DCI. </w:t>
      </w:r>
    </w:p>
    <w:tbl>
      <w:tblPr>
        <w:tblStyle w:val="TableGrid"/>
        <w:tblW w:w="0" w:type="auto"/>
        <w:tblLook w:val="04A0" w:firstRow="1" w:lastRow="0" w:firstColumn="1" w:lastColumn="0" w:noHBand="0" w:noVBand="1"/>
      </w:tblPr>
      <w:tblGrid>
        <w:gridCol w:w="9962"/>
      </w:tblGrid>
      <w:tr w:rsidR="00D75C1A" w14:paraId="19E52F91" w14:textId="77777777" w:rsidTr="00D75C1A">
        <w:tc>
          <w:tcPr>
            <w:tcW w:w="9962" w:type="dxa"/>
          </w:tcPr>
          <w:p w14:paraId="2FC3A1DB" w14:textId="744EAD24" w:rsidR="00D75C1A" w:rsidRPr="00961813" w:rsidRDefault="008737B8" w:rsidP="00961813">
            <w:pPr>
              <w:pStyle w:val="Heading3"/>
              <w:numPr>
                <w:ilvl w:val="0"/>
                <w:numId w:val="0"/>
              </w:numPr>
              <w:outlineLvl w:val="2"/>
              <w:rPr>
                <w:rFonts w:ascii="Times New Roman" w:hAnsi="Times New Roman"/>
                <w:sz w:val="20"/>
              </w:rPr>
            </w:pPr>
            <w:r w:rsidRPr="00961813">
              <w:rPr>
                <w:rFonts w:ascii="Times New Roman" w:hAnsi="Times New Roman"/>
                <w:sz w:val="20"/>
                <w:highlight w:val="green"/>
                <w:lang w:eastAsia="ko-KR"/>
              </w:rPr>
              <w:t>Agreement:</w:t>
            </w:r>
            <w:r w:rsidR="00E54FC8" w:rsidRPr="00961813">
              <w:rPr>
                <w:rFonts w:ascii="Times New Roman" w:hAnsi="Times New Roman"/>
                <w:sz w:val="20"/>
                <w:lang w:eastAsia="ko-KR"/>
              </w:rPr>
              <w:t xml:space="preserve"> </w:t>
            </w:r>
            <w:r w:rsidR="00E54FC8" w:rsidRPr="00961813">
              <w:rPr>
                <w:rFonts w:ascii="Times New Roman" w:hAnsi="Times New Roman"/>
                <w:sz w:val="20"/>
                <w:lang w:eastAsia="ko-KR"/>
              </w:rPr>
              <w:br/>
            </w:r>
            <w:r w:rsidR="00D75C1A" w:rsidRPr="00961813">
              <w:rPr>
                <w:rFonts w:ascii="Times New Roman" w:hAnsi="Times New Roman"/>
                <w:sz w:val="20"/>
              </w:rPr>
              <w:t>For enhancements of generating type-1 HARQ-ACK codebook corresponding to DCI that can schedule multiple PDSCHs, the following options can be considered</w:t>
            </w:r>
            <w:r w:rsidR="00D75C1A" w:rsidRPr="00961813">
              <w:rPr>
                <w:rFonts w:ascii="Times New Roman" w:hAnsi="Times New Roman"/>
                <w:sz w:val="20"/>
                <w:lang w:eastAsia="ko-KR"/>
              </w:rPr>
              <w:t>,</w:t>
            </w:r>
          </w:p>
          <w:p w14:paraId="7F250C39" w14:textId="77777777" w:rsidR="00D75C1A" w:rsidRDefault="00D75C1A" w:rsidP="00961813">
            <w:pPr>
              <w:pStyle w:val="ListParagraph"/>
              <w:numPr>
                <w:ilvl w:val="0"/>
                <w:numId w:val="17"/>
              </w:numPr>
              <w:spacing w:after="160" w:line="252" w:lineRule="auto"/>
              <w:ind w:left="340"/>
              <w:contextualSpacing/>
            </w:pPr>
            <w:r>
              <w:rPr>
                <w:lang w:eastAsia="ko-KR"/>
              </w:rPr>
              <w:t>Option 1</w:t>
            </w:r>
            <w:r>
              <w:rPr>
                <w:rFonts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4B52D35A" w14:textId="77777777" w:rsidR="00D75C1A" w:rsidRDefault="00D75C1A" w:rsidP="00961813">
            <w:pPr>
              <w:pStyle w:val="ListParagraph"/>
              <w:numPr>
                <w:ilvl w:val="0"/>
                <w:numId w:val="17"/>
              </w:numPr>
              <w:spacing w:after="160" w:line="252" w:lineRule="auto"/>
              <w:ind w:left="340"/>
              <w:contextualSpacing/>
            </w:pPr>
            <w:r>
              <w:rPr>
                <w:lang w:eastAsia="ko-KR"/>
              </w:rPr>
              <w:t xml:space="preserve">Option 1a: The set of candidate PDSCH </w:t>
            </w:r>
            <w:r>
              <w:t xml:space="preserve">reception </w:t>
            </w:r>
            <w:r>
              <w:rPr>
                <w:lang w:eastAsia="ko-KR"/>
              </w:rPr>
              <w:t>occasions is determined according to each SLIV of each row in the TDRA table</w:t>
            </w:r>
          </w:p>
          <w:p w14:paraId="43830C38" w14:textId="77777777" w:rsidR="00D75C1A" w:rsidRDefault="00D75C1A" w:rsidP="00961813">
            <w:pPr>
              <w:pStyle w:val="ListParagraph"/>
              <w:numPr>
                <w:ilvl w:val="0"/>
                <w:numId w:val="17"/>
              </w:numPr>
              <w:spacing w:after="160" w:line="252" w:lineRule="auto"/>
              <w:ind w:left="340"/>
              <w:contextualSpacing/>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B5A7FCA" w14:textId="51AD38E6" w:rsidR="00D75C1A" w:rsidRDefault="00D75C1A" w:rsidP="00961813">
            <w:pPr>
              <w:pStyle w:val="ListParagraph"/>
              <w:numPr>
                <w:ilvl w:val="0"/>
                <w:numId w:val="17"/>
              </w:numPr>
              <w:spacing w:after="160" w:line="252" w:lineRule="auto"/>
              <w:ind w:left="340"/>
              <w:contextualSpacing/>
              <w:rPr>
                <w:b/>
                <w:bCs/>
                <w:lang w:eastAsia="x-none"/>
              </w:rPr>
            </w:pPr>
            <w:r>
              <w:rPr>
                <w:lang w:eastAsia="ko-KR"/>
              </w:rPr>
              <w:t xml:space="preserve">FFS: </w:t>
            </w:r>
            <w:r>
              <w:rPr>
                <w:rFonts w:eastAsia="Malgun Gothic"/>
                <w:lang w:eastAsia="ko-KR"/>
              </w:rPr>
              <w:t>C</w:t>
            </w:r>
            <w:r>
              <w:rPr>
                <w:rFonts w:eastAsia="Malgun Gothic" w:hint="eastAsia"/>
                <w:lang w:eastAsia="ko-KR"/>
              </w:rPr>
              <w:t>odebook generation details</w:t>
            </w:r>
            <w:r>
              <w:rPr>
                <w:rFonts w:eastAsia="Malgun Gothic"/>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tc>
      </w:tr>
    </w:tbl>
    <w:p w14:paraId="7B3F156D" w14:textId="3DC1DB00" w:rsidR="008F67DB" w:rsidRDefault="008F67DB" w:rsidP="00DB6C80">
      <w:pPr>
        <w:overflowPunct/>
        <w:autoSpaceDE/>
        <w:autoSpaceDN/>
        <w:adjustRightInd/>
        <w:spacing w:after="0"/>
        <w:jc w:val="left"/>
        <w:textAlignment w:val="auto"/>
        <w:rPr>
          <w:b/>
          <w:bCs/>
          <w:lang w:eastAsia="x-none"/>
        </w:rPr>
      </w:pPr>
    </w:p>
    <w:p w14:paraId="09ABE43E" w14:textId="5B8DA3DB" w:rsidR="006D13B3" w:rsidRDefault="0046075A" w:rsidP="008E007D">
      <w:pPr>
        <w:overflowPunct/>
        <w:autoSpaceDE/>
        <w:autoSpaceDN/>
        <w:adjustRightInd/>
        <w:spacing w:after="0"/>
        <w:jc w:val="left"/>
        <w:textAlignment w:val="auto"/>
        <w:rPr>
          <w:lang w:eastAsia="x-none"/>
        </w:rPr>
      </w:pPr>
      <w:r>
        <w:rPr>
          <w:lang w:eastAsia="x-none"/>
        </w:rPr>
        <w:t xml:space="preserve">Under Option </w:t>
      </w:r>
      <w:r w:rsidR="00A03945">
        <w:rPr>
          <w:lang w:eastAsia="x-none"/>
        </w:rPr>
        <w:t>1</w:t>
      </w:r>
      <w:r>
        <w:rPr>
          <w:lang w:eastAsia="x-none"/>
        </w:rPr>
        <w:t>, i</w:t>
      </w:r>
      <w:r w:rsidR="00715E3D">
        <w:rPr>
          <w:lang w:eastAsia="x-none"/>
        </w:rPr>
        <w:t xml:space="preserve">f </w:t>
      </w:r>
      <w:r w:rsidR="006D13B3" w:rsidRPr="006D13B3">
        <w:rPr>
          <w:lang w:eastAsia="x-none"/>
        </w:rPr>
        <w:t>we assume the gNB will not schedule a multi-PDSCH grant if any of the PDSCH</w:t>
      </w:r>
      <w:r w:rsidR="00715E3D">
        <w:rPr>
          <w:lang w:eastAsia="x-none"/>
        </w:rPr>
        <w:t>s</w:t>
      </w:r>
      <w:r w:rsidR="006D13B3" w:rsidRPr="006D13B3">
        <w:rPr>
          <w:lang w:eastAsia="x-none"/>
        </w:rPr>
        <w:t xml:space="preserve"> is overlapping (at least on one symbol) with semi-static UL symbols</w:t>
      </w:r>
      <w:r w:rsidR="002A47FD">
        <w:rPr>
          <w:lang w:eastAsia="x-none"/>
        </w:rPr>
        <w:t xml:space="preserve">. In addition, it is assumed </w:t>
      </w:r>
      <w:r w:rsidR="006D13B3" w:rsidRPr="006D13B3">
        <w:rPr>
          <w:lang w:eastAsia="x-none"/>
        </w:rPr>
        <w:t>that all</w:t>
      </w:r>
      <w:r w:rsidR="002A47FD">
        <w:rPr>
          <w:lang w:eastAsia="x-none"/>
        </w:rPr>
        <w:t xml:space="preserve"> the</w:t>
      </w:r>
      <w:r w:rsidR="006D13B3" w:rsidRPr="006D13B3">
        <w:rPr>
          <w:lang w:eastAsia="x-none"/>
        </w:rPr>
        <w:t xml:space="preserve"> PDSCHs scheduled by the </w:t>
      </w:r>
      <w:r w:rsidR="00B93E8C">
        <w:rPr>
          <w:lang w:eastAsia="x-none"/>
        </w:rPr>
        <w:t>same DCI will be</w:t>
      </w:r>
      <w:r w:rsidR="006D13B3" w:rsidRPr="006D13B3">
        <w:rPr>
          <w:lang w:eastAsia="x-none"/>
        </w:rPr>
        <w:t xml:space="preserve"> feedbacked by one PUCCH/PRI</w:t>
      </w:r>
      <w:r w:rsidR="008A4185">
        <w:rPr>
          <w:lang w:eastAsia="x-none"/>
        </w:rPr>
        <w:t>. As agreed in RAN1 #104-e,</w:t>
      </w:r>
      <w:r w:rsidR="006D13B3" w:rsidRPr="006D13B3">
        <w:rPr>
          <w:lang w:eastAsia="x-none"/>
        </w:rPr>
        <w:t xml:space="preserve"> K1 counting down start from </w:t>
      </w:r>
      <w:r w:rsidR="0056536B">
        <w:rPr>
          <w:lang w:eastAsia="x-none"/>
        </w:rPr>
        <w:t xml:space="preserve">the slot of the </w:t>
      </w:r>
      <w:r w:rsidR="006D13B3" w:rsidRPr="006D13B3">
        <w:rPr>
          <w:lang w:eastAsia="x-none"/>
        </w:rPr>
        <w:t>last PDSCH scheduled by the multi-PDSCH grant</w:t>
      </w:r>
      <w:r w:rsidR="008A4185">
        <w:rPr>
          <w:lang w:eastAsia="x-none"/>
        </w:rPr>
        <w:t xml:space="preserve"> via</w:t>
      </w:r>
      <w:r w:rsidR="0056536B">
        <w:rPr>
          <w:lang w:eastAsia="x-none"/>
        </w:rPr>
        <w:t xml:space="preserve"> a</w:t>
      </w:r>
      <w:r w:rsidR="008A4185">
        <w:rPr>
          <w:lang w:eastAsia="x-none"/>
        </w:rPr>
        <w:t xml:space="preserve"> single DCI. </w:t>
      </w:r>
      <w:r w:rsidR="00B7487A">
        <w:rPr>
          <w:lang w:eastAsia="x-none"/>
        </w:rPr>
        <w:t xml:space="preserve">The pseudo-code to calculate the </w:t>
      </w:r>
      <w:r w:rsidR="00BF2ED8">
        <w:rPr>
          <w:lang w:eastAsia="x-none"/>
        </w:rPr>
        <w:t xml:space="preserve">type-1 HARQ-ACK codebook can be as follows: </w:t>
      </w:r>
    </w:p>
    <w:p w14:paraId="503EE4B9" w14:textId="02D622AF" w:rsidR="006D13B3" w:rsidRPr="006D13B3" w:rsidRDefault="006D13B3" w:rsidP="00BF2ED8">
      <w:pPr>
        <w:pStyle w:val="ListParagraph"/>
        <w:numPr>
          <w:ilvl w:val="0"/>
          <w:numId w:val="25"/>
        </w:numPr>
        <w:jc w:val="left"/>
        <w:rPr>
          <w:lang w:eastAsia="x-none"/>
        </w:rPr>
      </w:pPr>
      <w:r w:rsidRPr="006D13B3">
        <w:rPr>
          <w:lang w:eastAsia="x-none"/>
        </w:rPr>
        <w:t>Step 0: Initiate a set of slots to generate A/N for as</w:t>
      </w:r>
      <w:r w:rsidR="0056536B">
        <w:rPr>
          <w:lang w:eastAsia="x-none"/>
        </w:rPr>
        <w:t xml:space="preserve"> an</w:t>
      </w:r>
      <w:r w:rsidRPr="006D13B3">
        <w:rPr>
          <w:lang w:eastAsia="x-none"/>
        </w:rPr>
        <w:t xml:space="preserve"> empty set</w:t>
      </w:r>
    </w:p>
    <w:p w14:paraId="17D97A88" w14:textId="77777777" w:rsidR="006D13B3" w:rsidRPr="006D13B3" w:rsidRDefault="006D13B3" w:rsidP="00BF2ED8">
      <w:pPr>
        <w:pStyle w:val="ListParagraph"/>
        <w:numPr>
          <w:ilvl w:val="0"/>
          <w:numId w:val="25"/>
        </w:numPr>
        <w:jc w:val="left"/>
        <w:rPr>
          <w:lang w:eastAsia="x-none"/>
        </w:rPr>
      </w:pPr>
      <w:r w:rsidRPr="006D13B3">
        <w:rPr>
          <w:lang w:eastAsia="x-none"/>
        </w:rPr>
        <w:t xml:space="preserve">Step 1: Starting from the PUCCH occasion, enumerate the list of K1 from RRC configured </w:t>
      </w:r>
      <w:r w:rsidRPr="00BF2ED8">
        <w:rPr>
          <w:i/>
          <w:iCs/>
          <w:lang w:eastAsia="x-none"/>
        </w:rPr>
        <w:t>dl-DataToUL-ACK</w:t>
      </w:r>
      <w:r w:rsidRPr="006D13B3">
        <w:rPr>
          <w:lang w:eastAsia="x-none"/>
        </w:rPr>
        <w:t xml:space="preserve">, to identify possible </w:t>
      </w:r>
      <w:r w:rsidRPr="00BF2ED8">
        <w:rPr>
          <w:b/>
          <w:bCs/>
          <w:lang w:eastAsia="x-none"/>
        </w:rPr>
        <w:t>last PDSCH of multi-PDSCH grant</w:t>
      </w:r>
      <w:r w:rsidRPr="006D13B3">
        <w:rPr>
          <w:lang w:eastAsia="x-none"/>
        </w:rPr>
        <w:t xml:space="preserve"> (or the single PDSCH from single PDSCH grant)</w:t>
      </w:r>
    </w:p>
    <w:p w14:paraId="0D3E6769" w14:textId="77777777" w:rsidR="006D13B3" w:rsidRPr="006D13B3" w:rsidRDefault="006D13B3" w:rsidP="00BF2ED8">
      <w:pPr>
        <w:pStyle w:val="ListParagraph"/>
        <w:numPr>
          <w:ilvl w:val="0"/>
          <w:numId w:val="25"/>
        </w:numPr>
        <w:jc w:val="left"/>
        <w:rPr>
          <w:lang w:eastAsia="x-none"/>
        </w:rPr>
      </w:pPr>
      <w:r w:rsidRPr="006D13B3">
        <w:rPr>
          <w:lang w:eastAsia="x-none"/>
        </w:rPr>
        <w:t>Step 2: For an ending slot identified in step 1, further check if the SLIV of any single PDSCH grant or the SLIVs of any of the PDSCHs from a multi-PDSCH grant overlaps partially with UL symbols</w:t>
      </w:r>
      <w:r w:rsidRPr="006D13B3">
        <w:rPr>
          <w:lang w:eastAsia="x-none"/>
        </w:rPr>
        <w:tab/>
      </w:r>
    </w:p>
    <w:p w14:paraId="2E11DCDF" w14:textId="62B611D3" w:rsidR="006D13B3" w:rsidRPr="006D13B3" w:rsidRDefault="006D13B3" w:rsidP="00BF2ED8">
      <w:pPr>
        <w:pStyle w:val="ListParagraph"/>
        <w:numPr>
          <w:ilvl w:val="2"/>
          <w:numId w:val="25"/>
        </w:numPr>
        <w:jc w:val="left"/>
        <w:rPr>
          <w:lang w:eastAsia="x-none"/>
        </w:rPr>
      </w:pPr>
      <w:r w:rsidRPr="006D13B3">
        <w:rPr>
          <w:lang w:eastAsia="x-none"/>
        </w:rPr>
        <w:t xml:space="preserve">If No, add the slot(s) </w:t>
      </w:r>
      <w:r w:rsidR="0056536B">
        <w:rPr>
          <w:lang w:eastAsia="x-none"/>
        </w:rPr>
        <w:t xml:space="preserve">that </w:t>
      </w:r>
      <w:r w:rsidRPr="006D13B3">
        <w:rPr>
          <w:lang w:eastAsia="x-none"/>
        </w:rPr>
        <w:t>carries the PDSCH(s) in the set of slot</w:t>
      </w:r>
      <w:r w:rsidR="006A6962">
        <w:rPr>
          <w:lang w:eastAsia="x-none"/>
        </w:rPr>
        <w:t>s</w:t>
      </w:r>
    </w:p>
    <w:p w14:paraId="7E53138D" w14:textId="4C975DA4" w:rsidR="006D13B3" w:rsidRPr="006D13B3" w:rsidRDefault="006D13B3" w:rsidP="00BF2ED8">
      <w:pPr>
        <w:pStyle w:val="ListParagraph"/>
        <w:numPr>
          <w:ilvl w:val="0"/>
          <w:numId w:val="25"/>
        </w:numPr>
        <w:jc w:val="left"/>
        <w:rPr>
          <w:lang w:eastAsia="x-none"/>
        </w:rPr>
      </w:pPr>
      <w:r w:rsidRPr="006D13B3">
        <w:rPr>
          <w:lang w:eastAsia="x-none"/>
        </w:rPr>
        <w:t>Step 3: Generate A/N bits for each slot in the final set of slots</w:t>
      </w:r>
    </w:p>
    <w:p w14:paraId="751BFCEB" w14:textId="77777777" w:rsidR="001E6EB3" w:rsidRDefault="001E6EB3" w:rsidP="00DB6C80">
      <w:pPr>
        <w:overflowPunct/>
        <w:autoSpaceDE/>
        <w:autoSpaceDN/>
        <w:adjustRightInd/>
        <w:spacing w:after="0"/>
        <w:jc w:val="left"/>
        <w:textAlignment w:val="auto"/>
        <w:rPr>
          <w:lang w:eastAsia="x-none"/>
        </w:rPr>
      </w:pPr>
    </w:p>
    <w:p w14:paraId="23796F67" w14:textId="10954472" w:rsidR="007420C7" w:rsidRDefault="008317F1" w:rsidP="00DB6C80">
      <w:pPr>
        <w:overflowPunct/>
        <w:autoSpaceDE/>
        <w:autoSpaceDN/>
        <w:adjustRightInd/>
        <w:spacing w:after="0"/>
        <w:jc w:val="left"/>
        <w:textAlignment w:val="auto"/>
        <w:rPr>
          <w:lang w:eastAsia="x-none"/>
        </w:rPr>
      </w:pPr>
      <w:r>
        <w:rPr>
          <w:lang w:eastAsia="x-none"/>
        </w:rPr>
        <w:t>With Option 2, the size of the codebook can be very large, due to</w:t>
      </w:r>
      <w:r w:rsidR="0056536B">
        <w:rPr>
          <w:lang w:eastAsia="x-none"/>
        </w:rPr>
        <w:t xml:space="preserve"> the</w:t>
      </w:r>
      <w:r>
        <w:rPr>
          <w:lang w:eastAsia="x-none"/>
        </w:rPr>
        <w:t xml:space="preserve"> redundancy of overlapped potential grants. For example, </w:t>
      </w:r>
      <w:r w:rsidR="0080108E">
        <w:rPr>
          <w:lang w:eastAsia="x-none"/>
        </w:rPr>
        <w:t xml:space="preserve">if K1 has values 1/2/3 and we have only 8 SLIVs in each row in the TDRA table. If 8 A/N bits will be generated for each PDSCH occasion, then with option 2, we will have </w:t>
      </w:r>
      <w:r w:rsidR="00160EDD">
        <w:rPr>
          <w:lang w:eastAsia="x-none"/>
        </w:rPr>
        <w:t xml:space="preserve">24 bits codebook, while option 1 will generate a codebook of 10 bit. Therefore, </w:t>
      </w:r>
      <w:r>
        <w:rPr>
          <w:lang w:eastAsia="x-none"/>
        </w:rPr>
        <w:t xml:space="preserve">unless time domain bundling </w:t>
      </w:r>
      <w:r w:rsidR="00160EDD">
        <w:rPr>
          <w:lang w:eastAsia="x-none"/>
        </w:rPr>
        <w:t>is applied, Option 2 will be inefficient.</w:t>
      </w:r>
      <w:r w:rsidR="00747EF5">
        <w:rPr>
          <w:lang w:eastAsia="x-none"/>
        </w:rPr>
        <w:t xml:space="preserve"> On the other hand, time domain bundling can be discussed for Option 1 </w:t>
      </w:r>
      <w:r w:rsidR="00976351">
        <w:rPr>
          <w:lang w:eastAsia="x-none"/>
        </w:rPr>
        <w:t xml:space="preserve">to further reduce the codebook size. </w:t>
      </w:r>
      <w:r w:rsidR="006142DB">
        <w:rPr>
          <w:lang w:eastAsia="x-none"/>
        </w:rPr>
        <w:t xml:space="preserve">In addition, we believe that Option 2 </w:t>
      </w:r>
      <w:r w:rsidR="002D4D59">
        <w:rPr>
          <w:lang w:eastAsia="x-none"/>
        </w:rPr>
        <w:t>can</w:t>
      </w:r>
      <w:r w:rsidR="006142DB">
        <w:rPr>
          <w:lang w:eastAsia="x-none"/>
        </w:rPr>
        <w:t xml:space="preserve"> be problematic </w:t>
      </w:r>
      <w:r w:rsidR="002D4D59">
        <w:rPr>
          <w:lang w:eastAsia="x-none"/>
        </w:rPr>
        <w:t xml:space="preserve">in the case of non-contiguous slot allocation of PDSCHs, i.e., when there </w:t>
      </w:r>
      <w:r w:rsidR="0056536B">
        <w:rPr>
          <w:lang w:eastAsia="x-none"/>
        </w:rPr>
        <w:t>are</w:t>
      </w:r>
      <w:r w:rsidR="002D4D59">
        <w:rPr>
          <w:lang w:eastAsia="x-none"/>
        </w:rPr>
        <w:t xml:space="preserve"> slot level gaps between PDSCHs scheduled by the same DCI. </w:t>
      </w:r>
    </w:p>
    <w:p w14:paraId="3F361EE5" w14:textId="77777777" w:rsidR="00160EDD" w:rsidRDefault="00160EDD" w:rsidP="00DB6C80">
      <w:pPr>
        <w:overflowPunct/>
        <w:autoSpaceDE/>
        <w:autoSpaceDN/>
        <w:adjustRightInd/>
        <w:spacing w:after="0"/>
        <w:jc w:val="left"/>
        <w:textAlignment w:val="auto"/>
        <w:rPr>
          <w:lang w:eastAsia="x-none"/>
        </w:rPr>
      </w:pPr>
    </w:p>
    <w:p w14:paraId="5A75A0CF" w14:textId="23DA43A0" w:rsidR="00160EDD" w:rsidRDefault="00160EDD" w:rsidP="00160EDD">
      <w:pPr>
        <w:overflowPunct/>
        <w:autoSpaceDE/>
        <w:autoSpaceDN/>
        <w:adjustRightInd/>
        <w:spacing w:after="0"/>
        <w:jc w:val="left"/>
        <w:textAlignment w:val="auto"/>
        <w:rPr>
          <w:lang w:eastAsia="x-none"/>
        </w:rPr>
      </w:pPr>
      <w:r>
        <w:rPr>
          <w:lang w:eastAsia="x-none"/>
        </w:rPr>
        <w:t>Based on the PDSCH processing timeline for the new SCS,</w:t>
      </w:r>
      <w:r w:rsidR="0056536B">
        <w:rPr>
          <w:lang w:eastAsia="x-none"/>
        </w:rPr>
        <w:t xml:space="preserve"> i.e.,</w:t>
      </w:r>
      <w:r>
        <w:rPr>
          <w:lang w:eastAsia="x-none"/>
        </w:rPr>
        <w:t xml:space="preserve"> 480kHz and 960kHz, it </w:t>
      </w:r>
      <w:r w:rsidR="00976351">
        <w:rPr>
          <w:lang w:eastAsia="x-none"/>
        </w:rPr>
        <w:t>will</w:t>
      </w:r>
      <w:r>
        <w:rPr>
          <w:lang w:eastAsia="x-none"/>
        </w:rPr>
        <w:t xml:space="preserve"> be needed to extend the range of values of K1 for both the default and RRC configured values. For example, if the absolute timeline for 120kHz</w:t>
      </w:r>
      <w:r w:rsidR="00976351">
        <w:rPr>
          <w:lang w:eastAsia="x-none"/>
        </w:rPr>
        <w:t xml:space="preserve"> is applied to 480kHz and 960kHz</w:t>
      </w:r>
      <w:r>
        <w:rPr>
          <w:lang w:eastAsia="x-none"/>
        </w:rPr>
        <w:t>,</w:t>
      </w:r>
      <w:r w:rsidR="00976351">
        <w:rPr>
          <w:lang w:eastAsia="x-none"/>
        </w:rPr>
        <w:t xml:space="preserve"> where</w:t>
      </w:r>
      <w:r>
        <w:rPr>
          <w:lang w:eastAsia="x-none"/>
        </w:rPr>
        <w:t xml:space="preserve"> N1 is 20 symbols for frontloaded DMRS, then N1 for 480kHz and 960kHz can cover around 80 and 160 symbols, respectively. Before RRC configuration, the K1 values for fallback DCI are {1,2,3,4,5,6,7,8}, the maximum value 8 can be shorter than the N1 timeline for the new SCS. In addition, for RRC configuration, K1 ranges up to 15 slots, but most of the values within the range will be less than the N1 values for 480kHz and 960kHz. Therefore, the values of K1 should be revisited based on the PDSCH timeline. One simple solution could be shifting the values of K1 based on </w:t>
      </w:r>
      <w:r w:rsidR="0056536B">
        <w:rPr>
          <w:lang w:eastAsia="x-none"/>
        </w:rPr>
        <w:t xml:space="preserve">the </w:t>
      </w:r>
      <w:r>
        <w:rPr>
          <w:lang w:eastAsia="x-none"/>
        </w:rPr>
        <w:t xml:space="preserve">N1 value, e.g., shift range by floor(N1/14).  </w:t>
      </w:r>
    </w:p>
    <w:p w14:paraId="7D9DD367" w14:textId="77777777" w:rsidR="008317F1" w:rsidRPr="008317F1" w:rsidRDefault="008317F1" w:rsidP="00DB6C80">
      <w:pPr>
        <w:overflowPunct/>
        <w:autoSpaceDE/>
        <w:autoSpaceDN/>
        <w:adjustRightInd/>
        <w:spacing w:after="0"/>
        <w:jc w:val="left"/>
        <w:textAlignment w:val="auto"/>
        <w:rPr>
          <w:lang w:eastAsia="x-none"/>
        </w:rPr>
      </w:pPr>
    </w:p>
    <w:p w14:paraId="2E1095FD" w14:textId="3D72330F" w:rsidR="00BF2ED8" w:rsidRPr="00B63A41" w:rsidRDefault="00BF2ED8" w:rsidP="00DB6C80">
      <w:pPr>
        <w:overflowPunct/>
        <w:autoSpaceDE/>
        <w:autoSpaceDN/>
        <w:adjustRightInd/>
        <w:spacing w:after="0"/>
        <w:jc w:val="left"/>
        <w:textAlignment w:val="auto"/>
        <w:rPr>
          <w:b/>
          <w:bCs/>
          <w:lang w:eastAsia="x-none"/>
        </w:rPr>
      </w:pPr>
      <w:bookmarkStart w:id="5" w:name="p5_6"/>
      <w:r w:rsidRPr="00B63A41">
        <w:rPr>
          <w:b/>
          <w:bCs/>
          <w:lang w:eastAsia="x-none"/>
        </w:rPr>
        <w:t>Proposal</w:t>
      </w:r>
      <w:r w:rsidR="00C435B4">
        <w:rPr>
          <w:b/>
          <w:bCs/>
          <w:lang w:eastAsia="x-none"/>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5</w:t>
      </w:r>
      <w:r w:rsidR="00C435B4">
        <w:rPr>
          <w:b/>
          <w:bCs/>
          <w:lang w:eastAsia="x-none"/>
        </w:rPr>
        <w:fldChar w:fldCharType="end"/>
      </w:r>
      <w:r w:rsidRPr="00B63A41">
        <w:rPr>
          <w:b/>
          <w:bCs/>
          <w:lang w:eastAsia="x-none"/>
        </w:rPr>
        <w:t xml:space="preserve">: </w:t>
      </w:r>
      <w:r w:rsidR="00852CFA" w:rsidRPr="00B63A41">
        <w:rPr>
          <w:b/>
          <w:bCs/>
          <w:lang w:eastAsia="x-none"/>
        </w:rPr>
        <w:t xml:space="preserve">Support </w:t>
      </w:r>
      <w:r w:rsidR="00B63A41" w:rsidRPr="00B63A41">
        <w:rPr>
          <w:b/>
          <w:bCs/>
          <w:lang w:eastAsia="x-none"/>
        </w:rPr>
        <w:t xml:space="preserve">Option </w:t>
      </w:r>
      <w:r w:rsidR="00A03945">
        <w:rPr>
          <w:b/>
          <w:bCs/>
          <w:lang w:eastAsia="x-none"/>
        </w:rPr>
        <w:t>1</w:t>
      </w:r>
      <w:r w:rsidR="00B63A41" w:rsidRPr="00B63A41">
        <w:rPr>
          <w:b/>
          <w:bCs/>
          <w:lang w:eastAsia="x-none"/>
        </w:rPr>
        <w:t xml:space="preserve">, i.e., the set of the candidate PDSCH reception occasions can be determined based on </w:t>
      </w:r>
      <w:r w:rsidR="00A03945">
        <w:rPr>
          <w:b/>
          <w:bCs/>
          <w:lang w:eastAsia="x-none"/>
        </w:rPr>
        <w:t>each</w:t>
      </w:r>
      <w:r w:rsidR="00B63A41" w:rsidRPr="00B63A41">
        <w:rPr>
          <w:b/>
          <w:bCs/>
          <w:lang w:eastAsia="x-none"/>
        </w:rPr>
        <w:t xml:space="preserve"> SLIV of each row in the TDRA table</w:t>
      </w:r>
      <w:r w:rsidR="00A67AAA">
        <w:rPr>
          <w:b/>
          <w:bCs/>
          <w:lang w:eastAsia="x-none"/>
        </w:rPr>
        <w:t xml:space="preserve">, extension of K1 can be discussed separately to avoid confusion. </w:t>
      </w:r>
      <w:r w:rsidR="00A03945">
        <w:rPr>
          <w:b/>
          <w:bCs/>
          <w:lang w:eastAsia="x-none"/>
        </w:rPr>
        <w:t xml:space="preserve"> </w:t>
      </w:r>
    </w:p>
    <w:p w14:paraId="5640329D" w14:textId="77E29B95" w:rsidR="005F6A9F" w:rsidRDefault="005F6A9F" w:rsidP="00DB6C80">
      <w:pPr>
        <w:overflowPunct/>
        <w:autoSpaceDE/>
        <w:autoSpaceDN/>
        <w:adjustRightInd/>
        <w:spacing w:after="0"/>
        <w:jc w:val="left"/>
        <w:textAlignment w:val="auto"/>
        <w:rPr>
          <w:lang w:eastAsia="x-none"/>
        </w:rPr>
      </w:pPr>
    </w:p>
    <w:p w14:paraId="0035AF11" w14:textId="566C4DEF" w:rsidR="005F6A9F" w:rsidRPr="00B63A41" w:rsidRDefault="005F6A9F" w:rsidP="005F6A9F">
      <w:pPr>
        <w:overflowPunct/>
        <w:autoSpaceDE/>
        <w:autoSpaceDN/>
        <w:adjustRightInd/>
        <w:spacing w:after="0"/>
        <w:jc w:val="left"/>
        <w:textAlignment w:val="auto"/>
        <w:rPr>
          <w:b/>
          <w:bCs/>
          <w:lang w:eastAsia="x-none"/>
        </w:rPr>
      </w:pPr>
      <w:r w:rsidRPr="00B63A41">
        <w:rPr>
          <w:b/>
          <w:bCs/>
          <w:lang w:eastAsia="x-none"/>
        </w:rPr>
        <w:t>Proposal</w:t>
      </w:r>
      <w:r w:rsidR="00C435B4">
        <w:rPr>
          <w:b/>
          <w:bCs/>
          <w:lang w:eastAsia="x-none"/>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6</w:t>
      </w:r>
      <w:r w:rsidR="00C435B4">
        <w:rPr>
          <w:b/>
          <w:bCs/>
          <w:lang w:eastAsia="x-none"/>
        </w:rPr>
        <w:fldChar w:fldCharType="end"/>
      </w:r>
      <w:r w:rsidRPr="00B63A41">
        <w:rPr>
          <w:b/>
          <w:bCs/>
          <w:lang w:eastAsia="x-none"/>
        </w:rPr>
        <w:t xml:space="preserve">: </w:t>
      </w:r>
      <w:r>
        <w:rPr>
          <w:b/>
          <w:bCs/>
          <w:lang w:eastAsia="x-none"/>
        </w:rPr>
        <w:t xml:space="preserve">Revisit K1 values for SCS 480kHz and 960kHz after the discussions on </w:t>
      </w:r>
      <w:r w:rsidR="002B43D6">
        <w:rPr>
          <w:b/>
          <w:bCs/>
          <w:lang w:eastAsia="x-none"/>
        </w:rPr>
        <w:t xml:space="preserve">the </w:t>
      </w:r>
      <w:r>
        <w:rPr>
          <w:b/>
          <w:bCs/>
          <w:lang w:eastAsia="x-none"/>
        </w:rPr>
        <w:t xml:space="preserve">PDSCH processing timeline. </w:t>
      </w:r>
    </w:p>
    <w:bookmarkEnd w:id="5"/>
    <w:p w14:paraId="4B778835" w14:textId="77777777" w:rsidR="005F6A9F" w:rsidRPr="001E7080" w:rsidRDefault="005F6A9F" w:rsidP="00DB6C80">
      <w:pPr>
        <w:overflowPunct/>
        <w:autoSpaceDE/>
        <w:autoSpaceDN/>
        <w:adjustRightInd/>
        <w:spacing w:after="0"/>
        <w:jc w:val="left"/>
        <w:textAlignment w:val="auto"/>
        <w:rPr>
          <w:lang w:eastAsia="x-none"/>
        </w:rPr>
      </w:pPr>
    </w:p>
    <w:p w14:paraId="074E125D" w14:textId="102CE1ED" w:rsidR="00B16ACA" w:rsidRDefault="00B16ACA" w:rsidP="00B16ACA">
      <w:pPr>
        <w:overflowPunct/>
        <w:autoSpaceDE/>
        <w:autoSpaceDN/>
        <w:adjustRightInd/>
        <w:spacing w:after="0"/>
        <w:jc w:val="left"/>
        <w:textAlignment w:val="auto"/>
        <w:rPr>
          <w:lang w:eastAsia="x-none"/>
        </w:rPr>
      </w:pPr>
      <w:r w:rsidRPr="00B16ACA">
        <w:rPr>
          <w:lang w:eastAsia="x-none"/>
        </w:rPr>
        <w:t>In Rel.15, for slot aggregation</w:t>
      </w:r>
      <w:r>
        <w:rPr>
          <w:lang w:eastAsia="x-none"/>
        </w:rPr>
        <w:t xml:space="preserve"> where the </w:t>
      </w:r>
      <w:r w:rsidRPr="00B16ACA">
        <w:rPr>
          <w:lang w:eastAsia="x-none"/>
        </w:rPr>
        <w:t xml:space="preserve">same TB transmitted over multiple slots in </w:t>
      </w:r>
      <w:r>
        <w:rPr>
          <w:lang w:eastAsia="x-none"/>
        </w:rPr>
        <w:t xml:space="preserve">a </w:t>
      </w:r>
      <w:r w:rsidRPr="00B16ACA">
        <w:rPr>
          <w:lang w:eastAsia="x-none"/>
        </w:rPr>
        <w:t xml:space="preserve">repetition fashion, </w:t>
      </w:r>
      <w:r>
        <w:rPr>
          <w:lang w:eastAsia="x-none"/>
        </w:rPr>
        <w:t>a repetition is cancelled</w:t>
      </w:r>
      <w:r w:rsidRPr="00B16ACA">
        <w:rPr>
          <w:lang w:eastAsia="x-none"/>
        </w:rPr>
        <w:t>, if there is a confliction</w:t>
      </w:r>
      <w:r w:rsidR="00852CFA">
        <w:rPr>
          <w:lang w:eastAsia="x-none"/>
        </w:rPr>
        <w:t xml:space="preserve"> </w:t>
      </w:r>
      <w:r w:rsidR="00AF3E3B">
        <w:rPr>
          <w:lang w:eastAsia="x-none"/>
        </w:rPr>
        <w:t>with</w:t>
      </w:r>
      <w:r w:rsidR="00852CFA">
        <w:rPr>
          <w:lang w:eastAsia="x-none"/>
        </w:rPr>
        <w:t xml:space="preserve"> the</w:t>
      </w:r>
      <w:r w:rsidRPr="00B16ACA">
        <w:rPr>
          <w:lang w:eastAsia="x-none"/>
        </w:rPr>
        <w:t xml:space="preserve"> semi-static configured UL/DL direction</w:t>
      </w:r>
      <w:r w:rsidR="00852CFA">
        <w:rPr>
          <w:lang w:eastAsia="x-none"/>
        </w:rPr>
        <w:t xml:space="preserve">. </w:t>
      </w:r>
      <w:r w:rsidR="00B63A41">
        <w:rPr>
          <w:lang w:eastAsia="x-none"/>
        </w:rPr>
        <w:t>For</w:t>
      </w:r>
      <w:r w:rsidR="00DA7E1C">
        <w:rPr>
          <w:lang w:eastAsia="x-none"/>
        </w:rPr>
        <w:t xml:space="preserve"> a</w:t>
      </w:r>
      <w:r w:rsidR="00B63A41">
        <w:rPr>
          <w:lang w:eastAsia="x-none"/>
        </w:rPr>
        <w:t xml:space="preserve"> multi-PDSCH </w:t>
      </w:r>
      <w:r w:rsidR="00922D19">
        <w:rPr>
          <w:lang w:eastAsia="x-none"/>
        </w:rPr>
        <w:t xml:space="preserve">grant via a single DCI, we need to introduce new rules </w:t>
      </w:r>
      <w:r w:rsidR="00AD5958">
        <w:rPr>
          <w:lang w:eastAsia="x-none"/>
        </w:rPr>
        <w:t>to handle the conflict with the semi-static TDD configuration</w:t>
      </w:r>
      <w:r w:rsidR="00355CC5">
        <w:rPr>
          <w:lang w:eastAsia="x-none"/>
        </w:rPr>
        <w:t xml:space="preserve">. </w:t>
      </w:r>
      <w:r w:rsidR="008923E1">
        <w:rPr>
          <w:lang w:eastAsia="x-none"/>
        </w:rPr>
        <w:t>In case of conflict</w:t>
      </w:r>
      <w:r w:rsidR="00DA7E1C">
        <w:rPr>
          <w:lang w:eastAsia="x-none"/>
        </w:rPr>
        <w:t xml:space="preserve"> </w:t>
      </w:r>
      <w:r w:rsidR="008923E1">
        <w:rPr>
          <w:lang w:eastAsia="x-none"/>
        </w:rPr>
        <w:t xml:space="preserve">between PDSCH and semi-static UL symbols, the overlapped PDSCH can be </w:t>
      </w:r>
      <w:r w:rsidR="000B0315">
        <w:rPr>
          <w:lang w:eastAsia="x-none"/>
        </w:rPr>
        <w:t>cancelled. Since</w:t>
      </w:r>
      <w:r w:rsidR="00DA7E1C">
        <w:rPr>
          <w:lang w:eastAsia="x-none"/>
        </w:rPr>
        <w:t xml:space="preserve"> </w:t>
      </w:r>
      <w:r w:rsidR="000B0315">
        <w:rPr>
          <w:lang w:eastAsia="x-none"/>
        </w:rPr>
        <w:t xml:space="preserve">a single HARQ ID will be carried by the DCI and </w:t>
      </w:r>
      <w:r w:rsidR="005B4A0F">
        <w:rPr>
          <w:lang w:eastAsia="x-none"/>
        </w:rPr>
        <w:t xml:space="preserve">an increment process will be used to define the HARQ IDs of all PDSCHs granted by the same DCI. </w:t>
      </w:r>
      <w:r w:rsidR="00943932">
        <w:rPr>
          <w:lang w:eastAsia="x-none"/>
        </w:rPr>
        <w:t xml:space="preserve">The HARQ ID corresponding to the cancelled PDSCH </w:t>
      </w:r>
      <w:r w:rsidR="00675ECA">
        <w:rPr>
          <w:lang w:eastAsia="x-none"/>
        </w:rPr>
        <w:t>will be cance</w:t>
      </w:r>
      <w:r w:rsidR="00DA7E1C">
        <w:rPr>
          <w:lang w:eastAsia="x-none"/>
        </w:rPr>
        <w:t>l</w:t>
      </w:r>
      <w:r w:rsidR="00675ECA">
        <w:rPr>
          <w:lang w:eastAsia="x-none"/>
        </w:rPr>
        <w:t xml:space="preserve">led as well and the construction of type-1 codebook will ignore the cancelled PDSCH. </w:t>
      </w:r>
      <w:r w:rsidR="00985ECB">
        <w:rPr>
          <w:lang w:eastAsia="x-none"/>
        </w:rPr>
        <w:t xml:space="preserve">For example, if </w:t>
      </w:r>
      <w:r w:rsidR="008067F3">
        <w:rPr>
          <w:lang w:eastAsia="x-none"/>
        </w:rPr>
        <w:t xml:space="preserve">a DCI of </w:t>
      </w:r>
      <w:r w:rsidR="00985ECB">
        <w:rPr>
          <w:lang w:eastAsia="x-none"/>
        </w:rPr>
        <w:t xml:space="preserve">multi-PDSCH grant </w:t>
      </w:r>
      <w:r w:rsidR="008067F3">
        <w:rPr>
          <w:lang w:eastAsia="x-none"/>
        </w:rPr>
        <w:t>scheduled 4 PDSCHs carried HARQ</w:t>
      </w:r>
      <w:r w:rsidR="00F84623">
        <w:rPr>
          <w:lang w:eastAsia="x-none"/>
        </w:rPr>
        <w:t xml:space="preserve"> </w:t>
      </w:r>
      <w:r w:rsidR="006114C2">
        <w:rPr>
          <w:lang w:eastAsia="x-none"/>
        </w:rPr>
        <w:t>ID</w:t>
      </w:r>
      <w:r w:rsidR="00F84623">
        <w:rPr>
          <w:lang w:eastAsia="x-none"/>
        </w:rPr>
        <w:t xml:space="preserve"> = Z</w:t>
      </w:r>
      <w:r w:rsidR="006114C2">
        <w:rPr>
          <w:lang w:eastAsia="x-none"/>
        </w:rPr>
        <w:t xml:space="preserve">, and the third PDSCH was cancelled due to an overlap with TDD UL symbol, then the </w:t>
      </w:r>
      <w:r w:rsidR="00F84623">
        <w:rPr>
          <w:lang w:eastAsia="x-none"/>
        </w:rPr>
        <w:t xml:space="preserve">first PDSCH will have HARQ ID = Z , </w:t>
      </w:r>
      <w:r w:rsidR="00DA7E1C">
        <w:rPr>
          <w:lang w:eastAsia="x-none"/>
        </w:rPr>
        <w:t xml:space="preserve">the </w:t>
      </w:r>
      <w:r w:rsidR="00F84623">
        <w:rPr>
          <w:lang w:eastAsia="x-none"/>
        </w:rPr>
        <w:t xml:space="preserve">second PDSCH will have HARQ ID = Z+1, and the fourth granted PDSCH will have HARQ ID= Z+3, i.e., HARQ ID=Z+2 corresponding </w:t>
      </w:r>
      <w:r w:rsidR="0056466C">
        <w:rPr>
          <w:lang w:eastAsia="x-none"/>
        </w:rPr>
        <w:t>to the skipped PDSCH will be cancelled.</w:t>
      </w:r>
      <w:r w:rsidR="008067F3">
        <w:rPr>
          <w:lang w:eastAsia="x-none"/>
        </w:rPr>
        <w:t xml:space="preserve"> </w:t>
      </w:r>
      <w:r w:rsidR="00AD2CFB">
        <w:rPr>
          <w:lang w:eastAsia="x-none"/>
        </w:rPr>
        <w:t xml:space="preserve">Following this approach, the above algorithm is still valid and there is no need </w:t>
      </w:r>
      <w:r w:rsidR="00DA7E1C">
        <w:rPr>
          <w:lang w:eastAsia="x-none"/>
        </w:rPr>
        <w:t xml:space="preserve">to </w:t>
      </w:r>
      <w:r w:rsidR="00AD2CFB">
        <w:rPr>
          <w:lang w:eastAsia="x-none"/>
        </w:rPr>
        <w:t>take TDD confliction</w:t>
      </w:r>
      <w:r w:rsidR="00953485">
        <w:rPr>
          <w:lang w:eastAsia="x-none"/>
        </w:rPr>
        <w:t xml:space="preserve"> into account, even if the last PDSCH was cancelled, the same rules could be applied as long as the </w:t>
      </w:r>
      <w:r w:rsidR="00FC7687">
        <w:rPr>
          <w:lang w:eastAsia="x-none"/>
        </w:rPr>
        <w:t xml:space="preserve">interpretation of K1 </w:t>
      </w:r>
      <w:r w:rsidR="00F81F9B">
        <w:rPr>
          <w:lang w:eastAsia="x-none"/>
        </w:rPr>
        <w:t xml:space="preserve">follows the same rule, i.e., </w:t>
      </w:r>
      <w:r w:rsidR="006D13B3" w:rsidRPr="006D13B3">
        <w:rPr>
          <w:lang w:eastAsia="x-none"/>
        </w:rPr>
        <w:t xml:space="preserve">K1 counting down start from </w:t>
      </w:r>
      <w:r w:rsidR="00DA7E1C">
        <w:rPr>
          <w:lang w:eastAsia="x-none"/>
        </w:rPr>
        <w:t xml:space="preserve">the slot of the </w:t>
      </w:r>
      <w:r w:rsidR="006D13B3" w:rsidRPr="006D13B3">
        <w:rPr>
          <w:lang w:eastAsia="x-none"/>
        </w:rPr>
        <w:t>last PDSCH scheduled by the multi-PDSCH grant</w:t>
      </w:r>
      <w:r w:rsidR="00F81F9B">
        <w:rPr>
          <w:lang w:eastAsia="x-none"/>
        </w:rPr>
        <w:t xml:space="preserve"> via single DCI.</w:t>
      </w:r>
    </w:p>
    <w:p w14:paraId="024769D9" w14:textId="08B45A50" w:rsidR="0096631F" w:rsidRDefault="0096631F" w:rsidP="00B16ACA">
      <w:pPr>
        <w:overflowPunct/>
        <w:autoSpaceDE/>
        <w:autoSpaceDN/>
        <w:adjustRightInd/>
        <w:spacing w:after="0"/>
        <w:jc w:val="left"/>
        <w:textAlignment w:val="auto"/>
        <w:rPr>
          <w:lang w:eastAsia="x-none"/>
        </w:rPr>
      </w:pPr>
    </w:p>
    <w:p w14:paraId="09F9768D" w14:textId="42152F1E" w:rsidR="0096631F" w:rsidRPr="001E7080" w:rsidRDefault="0096631F" w:rsidP="00B16ACA">
      <w:pPr>
        <w:overflowPunct/>
        <w:autoSpaceDE/>
        <w:autoSpaceDN/>
        <w:adjustRightInd/>
        <w:spacing w:after="0"/>
        <w:jc w:val="left"/>
        <w:textAlignment w:val="auto"/>
        <w:rPr>
          <w:b/>
          <w:bCs/>
          <w:lang w:eastAsia="x-none"/>
        </w:rPr>
      </w:pPr>
      <w:bookmarkStart w:id="6" w:name="p7"/>
      <w:r w:rsidRPr="001E7080">
        <w:rPr>
          <w:b/>
          <w:bCs/>
          <w:lang w:eastAsia="x-none"/>
        </w:rPr>
        <w:t>Proposal</w:t>
      </w:r>
      <w:r w:rsidR="00C435B4">
        <w:rPr>
          <w:b/>
          <w:bCs/>
          <w:lang w:eastAsia="x-none"/>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7</w:t>
      </w:r>
      <w:r w:rsidR="00C435B4">
        <w:rPr>
          <w:b/>
          <w:bCs/>
          <w:lang w:eastAsia="x-none"/>
        </w:rPr>
        <w:fldChar w:fldCharType="end"/>
      </w:r>
      <w:r w:rsidRPr="001E7080">
        <w:rPr>
          <w:b/>
          <w:bCs/>
          <w:lang w:eastAsia="x-none"/>
        </w:rPr>
        <w:t xml:space="preserve">: </w:t>
      </w:r>
      <w:r w:rsidR="004D7BBA">
        <w:rPr>
          <w:b/>
          <w:bCs/>
          <w:lang w:eastAsia="x-none"/>
        </w:rPr>
        <w:t>When some PDSCHs/PUSCHs are skipped due to</w:t>
      </w:r>
      <w:r w:rsidRPr="001E7080">
        <w:rPr>
          <w:b/>
          <w:bCs/>
          <w:lang w:eastAsia="x-none"/>
        </w:rPr>
        <w:t xml:space="preserve"> conflict</w:t>
      </w:r>
      <w:r w:rsidR="00552657" w:rsidRPr="001E7080">
        <w:rPr>
          <w:b/>
          <w:bCs/>
          <w:lang w:eastAsia="x-none"/>
        </w:rPr>
        <w:t xml:space="preserve"> between multi-PDSCH</w:t>
      </w:r>
      <w:r w:rsidR="00F16670">
        <w:rPr>
          <w:b/>
          <w:bCs/>
          <w:lang w:eastAsia="x-none"/>
        </w:rPr>
        <w:t>/PUSCH</w:t>
      </w:r>
      <w:r w:rsidR="00552657" w:rsidRPr="001E7080">
        <w:rPr>
          <w:b/>
          <w:bCs/>
          <w:lang w:eastAsia="x-none"/>
        </w:rPr>
        <w:t xml:space="preserve"> grant and UL</w:t>
      </w:r>
      <w:r w:rsidR="00F16670">
        <w:rPr>
          <w:b/>
          <w:bCs/>
          <w:lang w:eastAsia="x-none"/>
        </w:rPr>
        <w:t>/DL</w:t>
      </w:r>
      <w:r w:rsidR="00552657" w:rsidRPr="001E7080">
        <w:rPr>
          <w:b/>
          <w:bCs/>
          <w:lang w:eastAsia="x-none"/>
        </w:rPr>
        <w:t xml:space="preserve"> TDD configurations,</w:t>
      </w:r>
      <w:r w:rsidR="002B43D6">
        <w:rPr>
          <w:b/>
          <w:bCs/>
          <w:lang w:eastAsia="x-none"/>
        </w:rPr>
        <w:t xml:space="preserve"> the</w:t>
      </w:r>
      <w:r w:rsidR="00552657" w:rsidRPr="001E7080">
        <w:rPr>
          <w:b/>
          <w:bCs/>
          <w:lang w:eastAsia="x-none"/>
        </w:rPr>
        <w:t xml:space="preserve"> </w:t>
      </w:r>
      <w:r w:rsidR="00B000F2">
        <w:rPr>
          <w:b/>
          <w:bCs/>
          <w:lang w:eastAsia="x-none"/>
        </w:rPr>
        <w:t xml:space="preserve">HARQ increment process </w:t>
      </w:r>
      <w:r w:rsidR="00F16670">
        <w:rPr>
          <w:b/>
          <w:bCs/>
          <w:lang w:eastAsia="x-none"/>
        </w:rPr>
        <w:t xml:space="preserve">will be </w:t>
      </w:r>
      <w:r w:rsidR="00B000F2">
        <w:rPr>
          <w:b/>
          <w:bCs/>
          <w:lang w:eastAsia="x-none"/>
        </w:rPr>
        <w:t>applied over all PDSCHs/PUSCHs carried by the same DCI, then</w:t>
      </w:r>
      <w:r w:rsidR="00F16670">
        <w:rPr>
          <w:b/>
          <w:bCs/>
          <w:lang w:eastAsia="x-none"/>
        </w:rPr>
        <w:t xml:space="preserve"> the </w:t>
      </w:r>
      <w:r w:rsidR="00901D57" w:rsidRPr="001E7080">
        <w:rPr>
          <w:b/>
          <w:bCs/>
          <w:lang w:eastAsia="x-none"/>
        </w:rPr>
        <w:t xml:space="preserve">corresponding HARQ IDs </w:t>
      </w:r>
      <w:r w:rsidR="00B000F2">
        <w:rPr>
          <w:b/>
          <w:bCs/>
          <w:lang w:eastAsia="x-none"/>
        </w:rPr>
        <w:t xml:space="preserve">corresponding to </w:t>
      </w:r>
      <w:r w:rsidR="00B02449">
        <w:rPr>
          <w:b/>
          <w:bCs/>
          <w:lang w:eastAsia="x-none"/>
        </w:rPr>
        <w:t xml:space="preserve">the skipped PDCSHs/PUSCHs </w:t>
      </w:r>
      <w:r w:rsidR="00901D57" w:rsidRPr="001E7080">
        <w:rPr>
          <w:b/>
          <w:bCs/>
          <w:lang w:eastAsia="x-none"/>
        </w:rPr>
        <w:t>should</w:t>
      </w:r>
      <w:r w:rsidR="00552657" w:rsidRPr="001E7080">
        <w:rPr>
          <w:b/>
          <w:bCs/>
          <w:lang w:eastAsia="x-none"/>
        </w:rPr>
        <w:t xml:space="preserve"> be cancel</w:t>
      </w:r>
      <w:r w:rsidR="00901D57" w:rsidRPr="001E7080">
        <w:rPr>
          <w:b/>
          <w:bCs/>
          <w:lang w:eastAsia="x-none"/>
        </w:rPr>
        <w:t xml:space="preserve">led and ignored when constructing the </w:t>
      </w:r>
      <w:r w:rsidR="001E7080" w:rsidRPr="001E7080">
        <w:rPr>
          <w:b/>
          <w:bCs/>
          <w:lang w:eastAsia="x-none"/>
        </w:rPr>
        <w:t>type-1 codebook.</w:t>
      </w:r>
      <w:r w:rsidRPr="001E7080">
        <w:rPr>
          <w:b/>
          <w:bCs/>
          <w:lang w:eastAsia="x-none"/>
        </w:rPr>
        <w:t xml:space="preserve"> </w:t>
      </w:r>
      <w:r w:rsidR="00B02449">
        <w:rPr>
          <w:b/>
          <w:bCs/>
          <w:lang w:eastAsia="x-none"/>
        </w:rPr>
        <w:t xml:space="preserve"> </w:t>
      </w:r>
    </w:p>
    <w:bookmarkEnd w:id="6"/>
    <w:p w14:paraId="5F4031FE" w14:textId="4C929F0C" w:rsidR="00DE6FD4" w:rsidRDefault="00DE6FD4" w:rsidP="00F2730C">
      <w:pPr>
        <w:pStyle w:val="Heading3"/>
      </w:pPr>
      <w:r>
        <w:t xml:space="preserve">Type-2 HARQ-ACK codebook enhancements </w:t>
      </w:r>
    </w:p>
    <w:p w14:paraId="40F7CA12" w14:textId="11CF5FBB" w:rsidR="009714E5" w:rsidRDefault="009714E5" w:rsidP="006B6B76">
      <w:pPr>
        <w:overflowPunct/>
        <w:autoSpaceDE/>
        <w:autoSpaceDN/>
        <w:adjustRightInd/>
        <w:spacing w:after="0"/>
        <w:jc w:val="left"/>
        <w:textAlignment w:val="auto"/>
        <w:rPr>
          <w:lang w:eastAsia="x-none"/>
        </w:rPr>
      </w:pPr>
      <w:r>
        <w:rPr>
          <w:lang w:eastAsia="x-none"/>
        </w:rPr>
        <w:t>For the HARQ-ACK timing information</w:t>
      </w:r>
      <w:r w:rsidR="00266E95">
        <w:rPr>
          <w:lang w:eastAsia="x-none"/>
        </w:rPr>
        <w:t xml:space="preserve"> and type-2 HARQ-ACK codebook enhancements for multi-PDSCH scheduling</w:t>
      </w:r>
      <w:r>
        <w:rPr>
          <w:lang w:eastAsia="x-none"/>
        </w:rPr>
        <w:t xml:space="preserve">, </w:t>
      </w:r>
      <w:r w:rsidR="00D75DD6">
        <w:rPr>
          <w:lang w:eastAsia="x-none"/>
        </w:rPr>
        <w:t xml:space="preserve">we reached the following </w:t>
      </w:r>
      <w:r w:rsidR="004E0B57">
        <w:rPr>
          <w:lang w:eastAsia="x-none"/>
        </w:rPr>
        <w:t>conclusion</w:t>
      </w:r>
      <w:r w:rsidR="00D75DD6">
        <w:rPr>
          <w:lang w:eastAsia="x-none"/>
        </w:rPr>
        <w:t xml:space="preserve"> in RAN1 #10</w:t>
      </w:r>
      <w:r w:rsidR="004D08CB">
        <w:rPr>
          <w:lang w:eastAsia="x-none"/>
        </w:rPr>
        <w:t>4</w:t>
      </w:r>
      <w:r w:rsidR="00D75DD6">
        <w:rPr>
          <w:lang w:eastAsia="x-none"/>
        </w:rPr>
        <w:t>-</w:t>
      </w:r>
      <w:r w:rsidR="004D08CB">
        <w:rPr>
          <w:lang w:eastAsia="x-none"/>
        </w:rPr>
        <w:t>bis-</w:t>
      </w:r>
      <w:r w:rsidR="00D75DD6">
        <w:rPr>
          <w:lang w:eastAsia="x-none"/>
        </w:rPr>
        <w:t>e</w:t>
      </w:r>
      <w:r w:rsidR="008737B8">
        <w:rPr>
          <w:lang w:eastAsia="x-none"/>
        </w:rPr>
        <w:t xml:space="preserve"> about Alt 2 (counting DCI per PDSCH)</w:t>
      </w:r>
      <w:r w:rsidR="002930AE">
        <w:rPr>
          <w:lang w:eastAsia="x-none"/>
        </w:rPr>
        <w:t>.</w:t>
      </w:r>
      <w:r w:rsidR="00266E95">
        <w:rPr>
          <w:lang w:eastAsia="x-none"/>
        </w:rPr>
        <w:t xml:space="preserve"> </w:t>
      </w:r>
    </w:p>
    <w:tbl>
      <w:tblPr>
        <w:tblStyle w:val="TableGrid"/>
        <w:tblW w:w="0" w:type="auto"/>
        <w:tblLook w:val="04A0" w:firstRow="1" w:lastRow="0" w:firstColumn="1" w:lastColumn="0" w:noHBand="0" w:noVBand="1"/>
      </w:tblPr>
      <w:tblGrid>
        <w:gridCol w:w="9962"/>
      </w:tblGrid>
      <w:tr w:rsidR="0080057A" w14:paraId="6F17FA32" w14:textId="77777777" w:rsidTr="0080057A">
        <w:tc>
          <w:tcPr>
            <w:tcW w:w="9962" w:type="dxa"/>
          </w:tcPr>
          <w:p w14:paraId="2B43B96F" w14:textId="77777777" w:rsidR="008737B8" w:rsidRDefault="00B83871" w:rsidP="00B83871">
            <w:pPr>
              <w:spacing w:after="160" w:line="256" w:lineRule="auto"/>
              <w:contextualSpacing/>
              <w:rPr>
                <w:rFonts w:eastAsia="Malgun Gothic"/>
              </w:rPr>
            </w:pPr>
            <w:r w:rsidRPr="008737B8">
              <w:rPr>
                <w:rFonts w:eastAsia="Malgun Gothic"/>
              </w:rPr>
              <w:t>Conclusion:</w:t>
            </w:r>
            <w:r w:rsidRPr="00B83871">
              <w:rPr>
                <w:rFonts w:eastAsia="Malgun Gothic"/>
              </w:rPr>
              <w:t xml:space="preserve"> </w:t>
            </w:r>
          </w:p>
          <w:p w14:paraId="42DD0496" w14:textId="11209D6B" w:rsidR="00B83871" w:rsidRPr="00B83871" w:rsidRDefault="00B83871" w:rsidP="00B83871">
            <w:pPr>
              <w:spacing w:after="160" w:line="256" w:lineRule="auto"/>
              <w:contextualSpacing/>
              <w:rPr>
                <w:rFonts w:eastAsia="Malgun Gothic"/>
              </w:rPr>
            </w:pPr>
            <w:r w:rsidRPr="00B83871">
              <w:rPr>
                <w:rFonts w:eastAsia="Malgun Gothic"/>
              </w:rPr>
              <w:t xml:space="preserve"> The following is observed for alternative 2 from prior agreement.</w:t>
            </w:r>
          </w:p>
          <w:p w14:paraId="3405CDDC" w14:textId="77777777" w:rsidR="00B83871" w:rsidRPr="00B83871" w:rsidRDefault="00B83871" w:rsidP="00B83871">
            <w:pPr>
              <w:numPr>
                <w:ilvl w:val="0"/>
                <w:numId w:val="27"/>
              </w:numPr>
              <w:spacing w:after="160" w:line="256" w:lineRule="auto"/>
              <w:contextualSpacing/>
              <w:rPr>
                <w:rFonts w:eastAsia="Malgun Gothic"/>
              </w:rPr>
            </w:pPr>
            <w:r w:rsidRPr="00B83871">
              <w:rPr>
                <w:rFonts w:eastAsia="Malgun Gothic"/>
                <w:lang w:val="en-GB"/>
              </w:rPr>
              <w:t>For Alt 2a (C-DAI/T-DAI is counted per PDSCH with a single codebook) of generating type-2 HARQ-ACK codebook corresponding to DCI that can schedule multiple PDSCHs,</w:t>
            </w:r>
          </w:p>
          <w:p w14:paraId="5DB73508" w14:textId="77777777" w:rsidR="00B83871" w:rsidRPr="00B83871" w:rsidRDefault="00B83871" w:rsidP="00B83871">
            <w:pPr>
              <w:numPr>
                <w:ilvl w:val="1"/>
                <w:numId w:val="27"/>
              </w:numPr>
              <w:spacing w:after="160" w:line="256" w:lineRule="auto"/>
              <w:contextualSpacing/>
              <w:rPr>
                <w:rFonts w:eastAsia="Malgun Gothic"/>
              </w:rPr>
            </w:pPr>
            <w:r w:rsidRPr="00B83871">
              <w:rPr>
                <w:rFonts w:eastAsia="Malgun Gothic"/>
                <w:lang w:val="en-GB"/>
              </w:rPr>
              <w:t>C-DAI/T-DAI in DL DCI: Bit-width can be increased (FFS: by how much), in DL DCI not only for multi-PDSCH DCI but also for single-PDSCH DCI for all serving cells including a serving cell not configured with multi-PDSCH DCI</w:t>
            </w:r>
          </w:p>
          <w:p w14:paraId="587A5204" w14:textId="77777777" w:rsidR="00B83871" w:rsidRPr="00B83871" w:rsidRDefault="00B83871" w:rsidP="00B83871">
            <w:pPr>
              <w:numPr>
                <w:ilvl w:val="1"/>
                <w:numId w:val="27"/>
              </w:numPr>
              <w:spacing w:after="160" w:line="256" w:lineRule="auto"/>
              <w:contextualSpacing/>
              <w:rPr>
                <w:rFonts w:eastAsia="Malgun Gothic"/>
              </w:rPr>
            </w:pPr>
            <w:r w:rsidRPr="00B83871">
              <w:rPr>
                <w:rFonts w:eastAsia="Malgun Gothic"/>
                <w:lang w:val="en-GB"/>
              </w:rPr>
              <w:t>T-DAI in UL DCI: Bit-width can be increased (FFS: by how much), in UL DCI for all serving cells including a serving cell not configured with multi-PDSCH DCI</w:t>
            </w:r>
          </w:p>
          <w:p w14:paraId="67A942AF" w14:textId="77777777" w:rsidR="00B83871" w:rsidRPr="00B83871" w:rsidRDefault="00B83871" w:rsidP="00B83871">
            <w:pPr>
              <w:numPr>
                <w:ilvl w:val="1"/>
                <w:numId w:val="27"/>
              </w:numPr>
              <w:spacing w:after="160" w:line="256" w:lineRule="auto"/>
              <w:contextualSpacing/>
              <w:rPr>
                <w:rFonts w:eastAsia="Malgun Gothic"/>
              </w:rPr>
            </w:pPr>
            <w:r w:rsidRPr="00B83871">
              <w:rPr>
                <w:rFonts w:eastAsia="Malgun Gothic"/>
                <w:lang w:val="en-GB"/>
              </w:rPr>
              <w:t xml:space="preserve">C-DAI/T-DAI in DL DCI and T-DAI in UL DCI shall be designed such that at most 3 consecutive DCI missing can be resolved, same as in Rel-15/16 NR. </w:t>
            </w:r>
          </w:p>
          <w:p w14:paraId="63702E9B" w14:textId="77777777" w:rsidR="00B83871" w:rsidRPr="00B83871" w:rsidRDefault="00B83871" w:rsidP="00B83871">
            <w:pPr>
              <w:numPr>
                <w:ilvl w:val="2"/>
                <w:numId w:val="27"/>
              </w:numPr>
              <w:spacing w:after="160" w:line="256" w:lineRule="auto"/>
              <w:contextualSpacing/>
              <w:rPr>
                <w:rFonts w:eastAsia="Malgun Gothic"/>
              </w:rPr>
            </w:pPr>
            <w:r w:rsidRPr="00B83871">
              <w:rPr>
                <w:rFonts w:eastAsia="Malgun Gothic"/>
                <w:lang w:val="en-GB"/>
              </w:rPr>
              <w:t>FFS: details on increment of DAI field size</w:t>
            </w:r>
          </w:p>
          <w:p w14:paraId="61B8D3E3" w14:textId="77777777" w:rsidR="00B83871" w:rsidRPr="00B83871" w:rsidRDefault="00B83871" w:rsidP="00B83871">
            <w:pPr>
              <w:numPr>
                <w:ilvl w:val="2"/>
                <w:numId w:val="27"/>
              </w:numPr>
              <w:spacing w:after="160" w:line="256" w:lineRule="auto"/>
              <w:contextualSpacing/>
              <w:rPr>
                <w:rFonts w:eastAsia="Malgun Gothic"/>
              </w:rPr>
            </w:pPr>
            <w:r w:rsidRPr="00B83871">
              <w:rPr>
                <w:rFonts w:eastAsia="Malgun Gothic"/>
                <w:lang w:val="en-GB"/>
              </w:rPr>
              <w:t>FFS: whether/how to handle the case where different DCI formats (e.g., DCI format 1_0 and DCI format 1_1) have different field sizes for C-DAI/T-DAI</w:t>
            </w:r>
          </w:p>
          <w:p w14:paraId="0AA594AB" w14:textId="77777777" w:rsidR="00B83871" w:rsidRPr="00B83871" w:rsidRDefault="00B83871" w:rsidP="00B83871">
            <w:pPr>
              <w:numPr>
                <w:ilvl w:val="1"/>
                <w:numId w:val="27"/>
              </w:numPr>
              <w:spacing w:after="160" w:line="256" w:lineRule="auto"/>
              <w:contextualSpacing/>
              <w:rPr>
                <w:rFonts w:eastAsia="Malgun Gothic"/>
              </w:rPr>
            </w:pPr>
            <w:r w:rsidRPr="00B83871">
              <w:rPr>
                <w:rFonts w:eastAsia="Malgun Gothic"/>
                <w:lang w:val="en-GB"/>
              </w:rPr>
              <w:t>HARQ-ACK codebook generation:</w:t>
            </w:r>
          </w:p>
          <w:p w14:paraId="0D451880" w14:textId="77777777" w:rsidR="00B83871" w:rsidRPr="00B83871" w:rsidRDefault="00B83871" w:rsidP="00B83871">
            <w:pPr>
              <w:numPr>
                <w:ilvl w:val="2"/>
                <w:numId w:val="27"/>
              </w:numPr>
              <w:spacing w:after="160" w:line="256" w:lineRule="auto"/>
              <w:contextualSpacing/>
              <w:rPr>
                <w:rFonts w:eastAsia="Malgun Gothic"/>
              </w:rPr>
            </w:pPr>
            <w:r w:rsidRPr="00B83871">
              <w:rPr>
                <w:rFonts w:eastAsia="Malgun Gothic"/>
                <w:lang w:val="en-GB"/>
              </w:rPr>
              <w:t>The number of HARQ-ACK bits depends on the number of scheduled PDSCHs.</w:t>
            </w:r>
          </w:p>
          <w:p w14:paraId="2EC998B4" w14:textId="77777777" w:rsidR="00B83871" w:rsidRPr="00B83871" w:rsidRDefault="00B83871" w:rsidP="00B83871">
            <w:pPr>
              <w:numPr>
                <w:ilvl w:val="2"/>
                <w:numId w:val="27"/>
              </w:numPr>
              <w:spacing w:after="160" w:line="256" w:lineRule="auto"/>
              <w:contextualSpacing/>
              <w:rPr>
                <w:rFonts w:eastAsia="Malgun Gothic"/>
              </w:rPr>
            </w:pPr>
            <w:r w:rsidRPr="00B83871">
              <w:rPr>
                <w:rFonts w:eastAsia="Malgun Gothic"/>
                <w:lang w:val="en-GB"/>
              </w:rPr>
              <w:t>FFS: ordering of the PDSCHs for DAI counting</w:t>
            </w:r>
          </w:p>
          <w:p w14:paraId="06F3FFB2" w14:textId="77777777" w:rsidR="00B83871" w:rsidRPr="00B83871" w:rsidRDefault="00B83871" w:rsidP="00B83871">
            <w:pPr>
              <w:numPr>
                <w:ilvl w:val="2"/>
                <w:numId w:val="27"/>
              </w:numPr>
              <w:spacing w:after="160" w:line="256" w:lineRule="auto"/>
              <w:contextualSpacing/>
              <w:rPr>
                <w:rFonts w:eastAsia="Malgun Gothic"/>
              </w:rPr>
            </w:pPr>
            <w:r w:rsidRPr="00B83871">
              <w:rPr>
                <w:rFonts w:eastAsia="Malgun Gothic"/>
                <w:lang w:val="en-GB"/>
              </w:rPr>
              <w:t>FFS: time domain bundling of HARQ-ACK feedback, as per agreement in RAN1#104-e</w:t>
            </w:r>
          </w:p>
          <w:p w14:paraId="7B5E6364" w14:textId="68A2CE19" w:rsidR="0080057A" w:rsidRDefault="00B83871" w:rsidP="008737B8">
            <w:pPr>
              <w:numPr>
                <w:ilvl w:val="1"/>
                <w:numId w:val="27"/>
              </w:numPr>
              <w:spacing w:after="160" w:line="256" w:lineRule="auto"/>
              <w:contextualSpacing/>
              <w:rPr>
                <w:rFonts w:eastAsia="Malgun Gothic"/>
              </w:rPr>
            </w:pPr>
            <w:r w:rsidRPr="00B83871">
              <w:rPr>
                <w:rFonts w:eastAsia="Malgun Gothic"/>
                <w:lang w:val="en-GB"/>
              </w:rPr>
              <w:t>Note that multi-PDSCH DCI refers to a DL DCI where at least one entry of the TDRA table allows scheduling more than one PDSCH</w:t>
            </w:r>
          </w:p>
        </w:tc>
      </w:tr>
    </w:tbl>
    <w:p w14:paraId="332E5CE1" w14:textId="6390D394" w:rsidR="00664CEC" w:rsidRDefault="001E1EFA" w:rsidP="00664CEC">
      <w:pPr>
        <w:spacing w:after="160" w:line="256" w:lineRule="auto"/>
        <w:contextualSpacing/>
        <w:rPr>
          <w:rFonts w:eastAsia="Malgun Gothic"/>
        </w:rPr>
      </w:pPr>
      <w:r>
        <w:rPr>
          <w:rFonts w:eastAsia="Malgun Gothic"/>
        </w:rPr>
        <w:t xml:space="preserve">We </w:t>
      </w:r>
      <w:r w:rsidR="0016488F">
        <w:rPr>
          <w:rFonts w:eastAsia="Malgun Gothic"/>
        </w:rPr>
        <w:t>support</w:t>
      </w:r>
      <w:r>
        <w:rPr>
          <w:rFonts w:eastAsia="Malgun Gothic"/>
        </w:rPr>
        <w:t xml:space="preserve"> Alt 2, </w:t>
      </w:r>
      <w:r w:rsidR="00AE0703" w:rsidRPr="00A34DED">
        <w:rPr>
          <w:rFonts w:eastAsia="Malgun Gothic"/>
        </w:rPr>
        <w:t xml:space="preserve">i.e., the DAI to be counted per PDSCH, </w:t>
      </w:r>
      <w:r w:rsidRPr="00A34DED">
        <w:rPr>
          <w:rFonts w:eastAsia="Malgun Gothic"/>
        </w:rPr>
        <w:t xml:space="preserve">as </w:t>
      </w:r>
      <w:r w:rsidR="00B7599D" w:rsidRPr="00A34DED">
        <w:rPr>
          <w:rFonts w:eastAsia="Malgun Gothic"/>
        </w:rPr>
        <w:t>illustrated in Fig.</w:t>
      </w:r>
      <w:r w:rsidR="00B7599D">
        <w:rPr>
          <w:rFonts w:eastAsia="Malgun Gothic"/>
        </w:rPr>
        <w:t xml:space="preserve"> </w:t>
      </w:r>
      <w:r w:rsidR="0012346F">
        <w:rPr>
          <w:rFonts w:eastAsia="Malgun Gothic"/>
        </w:rPr>
        <w:t>5</w:t>
      </w:r>
      <w:r w:rsidR="00B7599D">
        <w:rPr>
          <w:rFonts w:eastAsia="Malgun Gothic"/>
        </w:rPr>
        <w:t xml:space="preserve">. </w:t>
      </w:r>
      <w:r w:rsidR="00B7599D">
        <w:t xml:space="preserve">Assume a single carrier operation, and suppose gNB sent two multi-PDSCH grants, the first one grants 3 PDSCHs and the second one grants 2 PDSCHs. With the legacy NR rule of updating the DAI, suppose the first grant has cDAI=0 and tDAI=0, then the second grant will have cDAI=1 and tDAI=1. If the UE missed the first grant and correctly detects the second one, it will send only one NACK corresponding to the multi-PDSCH grant that carried 3 PDSCHs. This will lead to different codebook sizes at gNB and UE. To avoid this issue, the DAI calculations must take into account the number of granted PDSCHs by the multi-PDSCH grants. This can be done by introducing </w:t>
      </w:r>
      <w:r w:rsidR="00B7599D" w:rsidRPr="006422EC">
        <w:rPr>
          <w:i/>
          <w:iCs/>
        </w:rPr>
        <w:t>virtual</w:t>
      </w:r>
      <w:r w:rsidR="00B7599D">
        <w:t xml:space="preserve"> DCIs corresponding to each of the multi-PDSCH grants. Back to the previous example, if the UE successfully detects for the first grant, it will assume that there are two additional</w:t>
      </w:r>
      <w:r w:rsidR="00B7599D" w:rsidRPr="0046052A">
        <w:rPr>
          <w:i/>
          <w:iCs/>
        </w:rPr>
        <w:t xml:space="preserve"> virtual</w:t>
      </w:r>
      <w:r w:rsidR="00B7599D">
        <w:t xml:space="preserve"> DCIs, with cDAI=1, tDAI=1 and cDAI=2, tDAI=2, respectively. Similarly, gNB will update the DAI counter assuming the existence of the two virtual DCIs and will transmit the second grant with cDAI=3,</w:t>
      </w:r>
      <w:r w:rsidR="00B7599D" w:rsidRPr="00B25F0C">
        <w:t xml:space="preserve"> </w:t>
      </w:r>
      <w:r w:rsidR="00B7599D">
        <w:t xml:space="preserve">tDAI=3. Now, if the UE misses the first grant and correctly detects the second one, it will send 3 NACKs corresponding to the first grant, and the codebook sizes at gNB and UE will be the same. </w:t>
      </w:r>
      <w:r w:rsidR="00FA5745">
        <w:br/>
      </w:r>
      <w:r w:rsidR="00FA5745">
        <w:rPr>
          <w:rFonts w:eastAsia="Malgun Gothic"/>
        </w:rPr>
        <w:t xml:space="preserve">With Alt 1, we need to ensure that a fixed number of A/N bits is transmitted for the different grants corresponding to the same A/N occasion. That is, for fallback DCI or SPS PDSCH, the same number of A/N bits need to be added to the codebook similar to </w:t>
      </w:r>
      <w:r w:rsidR="00044AE3">
        <w:rPr>
          <w:rFonts w:eastAsia="Malgun Gothic"/>
        </w:rPr>
        <w:t xml:space="preserve">a </w:t>
      </w:r>
      <w:r w:rsidR="00FA5745">
        <w:rPr>
          <w:rFonts w:eastAsia="Malgun Gothic"/>
        </w:rPr>
        <w:t xml:space="preserve">multi-PDSCH grant to avoid the misalignment between the codebooks at gNB and UE. </w:t>
      </w:r>
      <w:r w:rsidR="00664CEC">
        <w:rPr>
          <w:rFonts w:eastAsia="Malgun Gothic"/>
        </w:rPr>
        <w:t xml:space="preserve">With </w:t>
      </w:r>
      <w:r w:rsidR="00044AE3">
        <w:rPr>
          <w:rFonts w:eastAsia="Malgun Gothic"/>
        </w:rPr>
        <w:t xml:space="preserve">a </w:t>
      </w:r>
      <w:r w:rsidR="00664CEC">
        <w:rPr>
          <w:rFonts w:eastAsia="Malgun Gothic"/>
        </w:rPr>
        <w:t xml:space="preserve">multi-PDSCH grant with </w:t>
      </w:r>
      <w:r w:rsidR="00044AE3">
        <w:rPr>
          <w:rFonts w:eastAsia="Malgun Gothic"/>
        </w:rPr>
        <w:t xml:space="preserve">a </w:t>
      </w:r>
      <w:r w:rsidR="00664CEC">
        <w:rPr>
          <w:rFonts w:eastAsia="Malgun Gothic"/>
        </w:rPr>
        <w:t xml:space="preserve">single DCI, the DAI field size needs to be increased. </w:t>
      </w:r>
    </w:p>
    <w:p w14:paraId="25D4CF9E" w14:textId="149D346C" w:rsidR="00B7599D" w:rsidRDefault="00B7599D" w:rsidP="00B7599D">
      <w:pPr>
        <w:spacing w:after="160" w:line="256" w:lineRule="auto"/>
        <w:contextualSpacing/>
      </w:pPr>
    </w:p>
    <w:p w14:paraId="702DB776" w14:textId="4791583A" w:rsidR="00B7599D" w:rsidRDefault="00D72DF3" w:rsidP="00B7599D">
      <w:pPr>
        <w:jc w:val="center"/>
      </w:pPr>
      <w:r>
        <w:object w:dxaOrig="9036" w:dyaOrig="4813" w14:anchorId="3236E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15pt;height:147.5pt" o:ole="">
            <v:imagedata r:id="rId12" o:title=""/>
          </v:shape>
          <o:OLEObject Type="Embed" ProgID="Visio.Drawing.15" ShapeID="_x0000_i1025" DrawAspect="Content" ObjectID="_1682259595" r:id="rId13"/>
        </w:object>
      </w:r>
      <w:r w:rsidR="00B7599D" w:rsidRPr="00FB0D51">
        <w:t xml:space="preserve"> </w:t>
      </w:r>
      <w:r w:rsidR="00B7599D">
        <w:t xml:space="preserve"> </w:t>
      </w:r>
    </w:p>
    <w:p w14:paraId="24E42C9E" w14:textId="571277C2" w:rsidR="00B7599D" w:rsidRDefault="006B6B76" w:rsidP="00B7599D">
      <w:pPr>
        <w:pStyle w:val="Caption"/>
        <w:jc w:val="center"/>
      </w:pPr>
      <w:r>
        <w:t>Fig.</w:t>
      </w:r>
      <w:r w:rsidR="00B7599D">
        <w:t xml:space="preserve"> </w:t>
      </w:r>
      <w:r w:rsidR="005432CF">
        <w:t>1</w:t>
      </w:r>
      <w:r w:rsidR="00B7599D">
        <w:t xml:space="preserve">: </w:t>
      </w:r>
      <w:r w:rsidR="00F03FC1">
        <w:t>V</w:t>
      </w:r>
      <w:r w:rsidR="00B7599D">
        <w:t>irtual DCIs for multi-PDSCH grant</w:t>
      </w:r>
    </w:p>
    <w:p w14:paraId="70DAE87A" w14:textId="6655C3E1" w:rsidR="00E01D08" w:rsidRDefault="00B83871" w:rsidP="003361CE">
      <w:pPr>
        <w:rPr>
          <w:lang w:eastAsia="zh-CN"/>
        </w:rPr>
      </w:pPr>
      <w:r>
        <w:t>We want to stress</w:t>
      </w:r>
      <w:r w:rsidR="00BA116E">
        <w:t xml:space="preserve"> </w:t>
      </w:r>
      <w:r>
        <w:t xml:space="preserve">the point that with </w:t>
      </w:r>
      <w:r w:rsidR="00BA116E">
        <w:t xml:space="preserve">a </w:t>
      </w:r>
      <w:r>
        <w:t xml:space="preserve">careful </w:t>
      </w:r>
      <w:r w:rsidR="00760FEE">
        <w:t xml:space="preserve">configuration of </w:t>
      </w:r>
      <w:r w:rsidR="00BA116E">
        <w:t xml:space="preserve">the </w:t>
      </w:r>
      <w:r w:rsidR="00760FEE">
        <w:t>TDRA table, the current DAI filed size can be sufficient. For example</w:t>
      </w:r>
      <w:r w:rsidR="00BD628A">
        <w:t xml:space="preserve">, </w:t>
      </w:r>
      <w:r w:rsidR="00BD628A">
        <w:rPr>
          <w:lang w:eastAsia="zh-CN"/>
        </w:rPr>
        <w:t>if the configured TDRA contains both single PDSCHs and 7 PDSCHs per a single DCI, then missing a grant of size 7 can be detected by the total DAI. On the other hand, the DAI field need</w:t>
      </w:r>
      <w:r w:rsidR="00267943">
        <w:rPr>
          <w:lang w:eastAsia="zh-CN"/>
        </w:rPr>
        <w:t>s</w:t>
      </w:r>
      <w:r w:rsidR="00BD628A">
        <w:rPr>
          <w:lang w:eastAsia="zh-CN"/>
        </w:rPr>
        <w:t xml:space="preserve"> to be increased if gNB wants to configure TDRA table </w:t>
      </w:r>
      <w:r w:rsidR="00747E72">
        <w:rPr>
          <w:lang w:eastAsia="zh-CN"/>
        </w:rPr>
        <w:t xml:space="preserve">with </w:t>
      </w:r>
      <w:r w:rsidR="00BD628A">
        <w:rPr>
          <w:lang w:eastAsia="zh-CN"/>
        </w:rPr>
        <w:t>4 or 8 PDSCH</w:t>
      </w:r>
      <w:r w:rsidR="00747E72">
        <w:rPr>
          <w:lang w:eastAsia="zh-CN"/>
        </w:rPr>
        <w:t>s</w:t>
      </w:r>
      <w:r w:rsidR="00BD628A">
        <w:rPr>
          <w:lang w:eastAsia="zh-CN"/>
        </w:rPr>
        <w:t xml:space="preserve"> allocations </w:t>
      </w:r>
      <w:r w:rsidR="00747E72">
        <w:rPr>
          <w:lang w:eastAsia="zh-CN"/>
        </w:rPr>
        <w:t xml:space="preserve">per a single DCI </w:t>
      </w:r>
      <w:r w:rsidR="00BD628A">
        <w:rPr>
          <w:lang w:eastAsia="zh-CN"/>
        </w:rPr>
        <w:t xml:space="preserve">as with 2-bit DAI (i.e., we apply mod 4), the total DAI increase will be 0 and </w:t>
      </w:r>
      <w:r w:rsidR="00747E72">
        <w:rPr>
          <w:lang w:eastAsia="zh-CN"/>
        </w:rPr>
        <w:t xml:space="preserve">the missed DCI will not be detected. </w:t>
      </w:r>
      <w:r w:rsidR="00BD628A">
        <w:rPr>
          <w:lang w:eastAsia="zh-CN"/>
        </w:rPr>
        <w:t>Th</w:t>
      </w:r>
      <w:r w:rsidR="00747E72">
        <w:rPr>
          <w:lang w:eastAsia="zh-CN"/>
        </w:rPr>
        <w:t>is</w:t>
      </w:r>
      <w:r w:rsidR="00BD628A">
        <w:rPr>
          <w:lang w:eastAsia="zh-CN"/>
        </w:rPr>
        <w:t xml:space="preserve"> problem will be there, similar to legacy if multiple DCIs are missed. </w:t>
      </w:r>
      <w:r w:rsidR="004A714F">
        <w:rPr>
          <w:lang w:eastAsia="zh-CN"/>
        </w:rPr>
        <w:t>Therefor</w:t>
      </w:r>
      <w:r w:rsidR="00E01D08">
        <w:rPr>
          <w:lang w:eastAsia="zh-CN"/>
        </w:rPr>
        <w:t>e</w:t>
      </w:r>
      <w:r w:rsidR="004A714F">
        <w:rPr>
          <w:lang w:eastAsia="zh-CN"/>
        </w:rPr>
        <w:t>, the DAI filed size of DCIs for multi-PDSCH grants can be variable and it should be up to gNB to configure this field size via RRC.</w:t>
      </w:r>
    </w:p>
    <w:p w14:paraId="45CD114D" w14:textId="6DF5871A" w:rsidR="003361CE" w:rsidRDefault="006E6B9B" w:rsidP="003361CE">
      <w:pPr>
        <w:rPr>
          <w:lang w:eastAsia="zh-CN"/>
        </w:rPr>
      </w:pPr>
      <w:r>
        <w:rPr>
          <w:lang w:eastAsia="zh-CN"/>
        </w:rPr>
        <w:t xml:space="preserve">In addition, </w:t>
      </w:r>
      <w:r w:rsidR="00C05BDB">
        <w:rPr>
          <w:lang w:eastAsia="zh-CN"/>
        </w:rPr>
        <w:t>the resolution of</w:t>
      </w:r>
      <w:r w:rsidR="00267943">
        <w:rPr>
          <w:lang w:eastAsia="zh-CN"/>
        </w:rPr>
        <w:t xml:space="preserve"> the</w:t>
      </w:r>
      <w:r w:rsidR="00C05BDB">
        <w:rPr>
          <w:lang w:eastAsia="zh-CN"/>
        </w:rPr>
        <w:t xml:space="preserve"> DAI counter can be adjusted based on the greatest common divisor of the number of SLIVs in each row of the TDRA table. For example, consider a TDRA table that only contains row</w:t>
      </w:r>
      <w:r w:rsidR="003361CE">
        <w:rPr>
          <w:lang w:eastAsia="zh-CN"/>
        </w:rPr>
        <w:t>s</w:t>
      </w:r>
      <w:r w:rsidR="00C05BDB">
        <w:rPr>
          <w:lang w:eastAsia="zh-CN"/>
        </w:rPr>
        <w:t xml:space="preserve"> with 4 </w:t>
      </w:r>
      <w:r w:rsidR="003361CE">
        <w:rPr>
          <w:lang w:eastAsia="zh-CN"/>
        </w:rPr>
        <w:t xml:space="preserve">or 8 SLIVs, then </w:t>
      </w:r>
      <w:r w:rsidR="00267943">
        <w:rPr>
          <w:lang w:eastAsia="zh-CN"/>
        </w:rPr>
        <w:t>every</w:t>
      </w:r>
      <w:r w:rsidR="006C3E6B">
        <w:rPr>
          <w:lang w:eastAsia="zh-CN"/>
        </w:rPr>
        <w:t xml:space="preserve"> four PDSCHs can increment the DAI counter by 1</w:t>
      </w:r>
      <w:r w:rsidR="00C514BA">
        <w:rPr>
          <w:lang w:eastAsia="zh-CN"/>
        </w:rPr>
        <w:t xml:space="preserve">, i.e., a grant of 4 PDSCHs will increment the DAI once, and a grant of 8 PDSCHs will increment the DAI twice. </w:t>
      </w:r>
      <w:r w:rsidR="0019131B">
        <w:rPr>
          <w:lang w:eastAsia="zh-CN"/>
        </w:rPr>
        <w:t>By doing this, there is no need to increase the number of DAI bits in the DCI based on the maximum number of the SLIVs in the TDRA table</w:t>
      </w:r>
      <w:r w:rsidR="00E01D08">
        <w:rPr>
          <w:lang w:eastAsia="zh-CN"/>
        </w:rPr>
        <w:t xml:space="preserve">, which can save some DCI overhead while maintaining the same level of reliability of the missed grants. If </w:t>
      </w:r>
      <w:r w:rsidR="006B3418">
        <w:rPr>
          <w:lang w:eastAsia="zh-CN"/>
        </w:rPr>
        <w:t xml:space="preserve">a </w:t>
      </w:r>
      <w:r w:rsidR="0053546A">
        <w:rPr>
          <w:lang w:eastAsia="zh-CN"/>
        </w:rPr>
        <w:t xml:space="preserve">single PDSCH is scheduled using DCI format 1_0, the DAI can be </w:t>
      </w:r>
      <w:r w:rsidR="00736CF6">
        <w:rPr>
          <w:lang w:eastAsia="zh-CN"/>
        </w:rPr>
        <w:t>incremented</w:t>
      </w:r>
      <w:r w:rsidR="009F5565">
        <w:rPr>
          <w:lang w:eastAsia="zh-CN"/>
        </w:rPr>
        <w:t xml:space="preserve">, then UE can pad some NAKs </w:t>
      </w:r>
      <w:r w:rsidR="00D57898">
        <w:rPr>
          <w:lang w:eastAsia="zh-CN"/>
        </w:rPr>
        <w:t>to ensure the correct codebook size.</w:t>
      </w:r>
      <w:r w:rsidR="00973A8E">
        <w:rPr>
          <w:lang w:eastAsia="zh-CN"/>
        </w:rPr>
        <w:t xml:space="preserve"> In the </w:t>
      </w:r>
      <w:r w:rsidR="00F65F44">
        <w:rPr>
          <w:lang w:eastAsia="zh-CN"/>
        </w:rPr>
        <w:t>previous</w:t>
      </w:r>
      <w:r w:rsidR="00973A8E">
        <w:rPr>
          <w:lang w:eastAsia="zh-CN"/>
        </w:rPr>
        <w:t xml:space="preserve"> example, if the resolution is 4, then </w:t>
      </w:r>
      <w:r w:rsidR="00D57898">
        <w:rPr>
          <w:lang w:eastAsia="zh-CN"/>
        </w:rPr>
        <w:t>the</w:t>
      </w:r>
      <w:r w:rsidR="00224471">
        <w:rPr>
          <w:lang w:eastAsia="zh-CN"/>
        </w:rPr>
        <w:t xml:space="preserve"> </w:t>
      </w:r>
      <w:r w:rsidR="00736CF6">
        <w:rPr>
          <w:lang w:eastAsia="zh-CN"/>
        </w:rPr>
        <w:t xml:space="preserve">UE </w:t>
      </w:r>
      <w:r w:rsidR="009F5565">
        <w:rPr>
          <w:lang w:eastAsia="zh-CN"/>
        </w:rPr>
        <w:t xml:space="preserve">will pad </w:t>
      </w:r>
      <w:r w:rsidR="00D57898">
        <w:rPr>
          <w:lang w:eastAsia="zh-CN"/>
        </w:rPr>
        <w:t xml:space="preserve">3 NAKs for </w:t>
      </w:r>
      <w:r w:rsidR="00224471">
        <w:rPr>
          <w:lang w:eastAsia="zh-CN"/>
        </w:rPr>
        <w:t xml:space="preserve">each of </w:t>
      </w:r>
      <w:r w:rsidR="006B3418">
        <w:rPr>
          <w:lang w:eastAsia="zh-CN"/>
        </w:rPr>
        <w:t xml:space="preserve">the </w:t>
      </w:r>
      <w:r w:rsidR="00224471">
        <w:rPr>
          <w:lang w:eastAsia="zh-CN"/>
        </w:rPr>
        <w:t xml:space="preserve">fallback DCI grants. </w:t>
      </w:r>
      <w:r w:rsidR="0044160C">
        <w:rPr>
          <w:lang w:eastAsia="zh-CN"/>
        </w:rPr>
        <w:t xml:space="preserve">By changing the resolution of the DAI increments, </w:t>
      </w:r>
      <w:r w:rsidR="006F6BAD">
        <w:rPr>
          <w:lang w:eastAsia="zh-CN"/>
        </w:rPr>
        <w:t xml:space="preserve">gNB can determine </w:t>
      </w:r>
      <w:r w:rsidR="0044160C">
        <w:rPr>
          <w:lang w:eastAsia="zh-CN"/>
        </w:rPr>
        <w:t xml:space="preserve">the </w:t>
      </w:r>
      <w:r w:rsidR="00117598">
        <w:rPr>
          <w:lang w:eastAsia="zh-CN"/>
        </w:rPr>
        <w:t xml:space="preserve">DAI field size based on the greatest common divisor of the number of the SLIVs not the maximum number of the SLIVs among the different rows in the TDRA table which can lead to a significant DCI overhead saving while maintaining the same level of reliability. </w:t>
      </w:r>
    </w:p>
    <w:p w14:paraId="698F69CF" w14:textId="294C1CF9" w:rsidR="004F26EE" w:rsidRPr="004F26EE" w:rsidRDefault="004F26EE" w:rsidP="003361CE">
      <w:pPr>
        <w:rPr>
          <w:lang w:eastAsia="zh-CN"/>
        </w:rPr>
      </w:pPr>
      <w:r w:rsidRPr="004F26EE">
        <w:t>The remaining question is how to place the virtual DCIs, consider the virtual DCIs will be jointly considered with the actual DCIs to determine the counter/total DAI</w:t>
      </w:r>
      <w:r w:rsidR="00A4782D">
        <w:t xml:space="preserve">. </w:t>
      </w:r>
      <w:r w:rsidRPr="004F26EE">
        <w:t xml:space="preserve">When a virtual DCI and an actual DCI are starting at the same symbol, the total DAI will be jointly </w:t>
      </w:r>
      <w:r w:rsidR="009B7487" w:rsidRPr="004F26EE">
        <w:t>counted,</w:t>
      </w:r>
      <w:r w:rsidRPr="004F26EE">
        <w:t xml:space="preserve"> and counter DAI will be sequential</w:t>
      </w:r>
      <w:r w:rsidR="00A4782D">
        <w:t xml:space="preserve">, similar to the case where </w:t>
      </w:r>
      <w:r w:rsidRPr="004F26EE">
        <w:t xml:space="preserve">two actual DCIs </w:t>
      </w:r>
      <w:r w:rsidR="00A4782D">
        <w:t xml:space="preserve">are </w:t>
      </w:r>
      <w:r w:rsidRPr="004F26EE">
        <w:t>transmitted at the same time</w:t>
      </w:r>
      <w:r w:rsidR="00C636B6">
        <w:t xml:space="preserve">. </w:t>
      </w:r>
      <w:r w:rsidRPr="004F26EE">
        <w:t>In other words, the virtual DCI and actual DCI</w:t>
      </w:r>
      <w:r w:rsidR="00C636B6">
        <w:t>s</w:t>
      </w:r>
      <w:r w:rsidRPr="004F26EE">
        <w:t xml:space="preserve"> are considered to be from the same monitoring occasion</w:t>
      </w:r>
      <w:r w:rsidR="00C636B6">
        <w:t xml:space="preserve">. Therefore, a new rule is needed </w:t>
      </w:r>
      <w:r w:rsidR="00FC63C8">
        <w:t>to place the virtual DCIs given the location of the actual DCI</w:t>
      </w:r>
      <w:r w:rsidR="00184217">
        <w:t xml:space="preserve">. For example, </w:t>
      </w:r>
      <w:r w:rsidR="009B7487">
        <w:t xml:space="preserve">we can </w:t>
      </w:r>
      <w:r w:rsidRPr="004F26EE">
        <w:t>define the symbol level offsets that the virtual DCI is introduced for each additional PDSCH in the multi-PDSCH grant</w:t>
      </w:r>
      <w:r w:rsidR="00103FE3">
        <w:t xml:space="preserve"> or the virtual DCI is </w:t>
      </w:r>
      <w:r w:rsidR="00131FAA">
        <w:t>introduced</w:t>
      </w:r>
      <w:r w:rsidR="00103FE3">
        <w:t xml:space="preserve"> at the start symbol of each PDSCH allocation. </w:t>
      </w:r>
      <w:r w:rsidR="00C3141C">
        <w:t>After introducing the virtual DCIs, t</w:t>
      </w:r>
      <w:r w:rsidR="003D3611">
        <w:t xml:space="preserve">he DAI counting can follow the legacy approach, </w:t>
      </w:r>
      <w:r w:rsidR="003D3611">
        <w:rPr>
          <w:color w:val="000000" w:themeColor="text1"/>
        </w:rPr>
        <w:t>DCIs can be ordered in a frequency first, t</w:t>
      </w:r>
      <w:r w:rsidR="00F36311">
        <w:rPr>
          <w:color w:val="000000" w:themeColor="text1"/>
        </w:rPr>
        <w:t xml:space="preserve">hen in a </w:t>
      </w:r>
      <w:r w:rsidR="003D3611">
        <w:rPr>
          <w:color w:val="000000" w:themeColor="text1"/>
        </w:rPr>
        <w:t>time</w:t>
      </w:r>
      <w:r w:rsidR="00C3141C">
        <w:rPr>
          <w:color w:val="000000" w:themeColor="text1"/>
        </w:rPr>
        <w:t>.</w:t>
      </w:r>
    </w:p>
    <w:p w14:paraId="6AC8D921" w14:textId="23CD5936" w:rsidR="00CB1841" w:rsidRDefault="008346B8" w:rsidP="008346B8">
      <w:pPr>
        <w:spacing w:after="160" w:line="256" w:lineRule="auto"/>
        <w:contextualSpacing/>
        <w:rPr>
          <w:rFonts w:eastAsia="Malgun Gothic"/>
          <w:b/>
          <w:bCs/>
        </w:rPr>
      </w:pPr>
      <w:bookmarkStart w:id="7" w:name="p8"/>
      <w:r w:rsidRPr="00A34DED">
        <w:rPr>
          <w:rFonts w:eastAsia="Malgun Gothic"/>
          <w:b/>
          <w:bCs/>
        </w:rPr>
        <w:t>Proposal</w:t>
      </w:r>
      <w:r w:rsidR="00C435B4">
        <w:rPr>
          <w:rFonts w:eastAsia="Malgun Gothic"/>
          <w:b/>
          <w:bCs/>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8</w:t>
      </w:r>
      <w:r w:rsidR="00C435B4">
        <w:rPr>
          <w:b/>
          <w:bCs/>
          <w:lang w:eastAsia="x-none"/>
        </w:rPr>
        <w:fldChar w:fldCharType="end"/>
      </w:r>
      <w:r w:rsidRPr="00A34DED">
        <w:rPr>
          <w:rFonts w:eastAsia="Malgun Gothic"/>
          <w:b/>
          <w:bCs/>
        </w:rPr>
        <w:t xml:space="preserve">: </w:t>
      </w:r>
    </w:p>
    <w:p w14:paraId="01A7C5AF" w14:textId="77777777" w:rsidR="00CB1841" w:rsidRPr="00CB1841" w:rsidRDefault="00C24906" w:rsidP="00CB1841">
      <w:pPr>
        <w:pStyle w:val="ListParagraph"/>
        <w:numPr>
          <w:ilvl w:val="0"/>
          <w:numId w:val="28"/>
        </w:numPr>
        <w:spacing w:after="160" w:line="256" w:lineRule="auto"/>
        <w:contextualSpacing/>
        <w:rPr>
          <w:rFonts w:eastAsia="Malgun Gothic"/>
          <w:b/>
          <w:bCs/>
        </w:rPr>
      </w:pPr>
      <w:r w:rsidRPr="00CB1841">
        <w:rPr>
          <w:rFonts w:eastAsia="Malgun Gothic"/>
          <w:b/>
          <w:bCs/>
        </w:rPr>
        <w:t>Regarding the DAI counting, w</w:t>
      </w:r>
      <w:r w:rsidR="008346B8" w:rsidRPr="00CB1841">
        <w:rPr>
          <w:rFonts w:eastAsia="Malgun Gothic"/>
          <w:b/>
          <w:bCs/>
        </w:rPr>
        <w:t xml:space="preserve">e </w:t>
      </w:r>
      <w:r w:rsidR="0016488F" w:rsidRPr="00CB1841">
        <w:rPr>
          <w:rFonts w:eastAsia="Malgun Gothic"/>
          <w:b/>
          <w:bCs/>
        </w:rPr>
        <w:t>support</w:t>
      </w:r>
      <w:r w:rsidR="008346B8" w:rsidRPr="00CB1841">
        <w:rPr>
          <w:rFonts w:eastAsia="Malgun Gothic"/>
          <w:b/>
          <w:bCs/>
        </w:rPr>
        <w:t xml:space="preserve"> Alt 2, i.e., </w:t>
      </w:r>
      <w:r w:rsidR="008346B8" w:rsidRPr="00CB1841">
        <w:rPr>
          <w:b/>
          <w:bCs/>
          <w:iCs/>
          <w:snapToGrid w:val="0"/>
        </w:rPr>
        <w:t xml:space="preserve">C-DAI/T-DAI is counted per PDSCH </w:t>
      </w:r>
    </w:p>
    <w:p w14:paraId="74B40B72" w14:textId="2D1B4E18" w:rsidR="008346B8" w:rsidRPr="00294EBE" w:rsidRDefault="00CB1841" w:rsidP="00CB1841">
      <w:pPr>
        <w:pStyle w:val="ListParagraph"/>
        <w:numPr>
          <w:ilvl w:val="0"/>
          <w:numId w:val="28"/>
        </w:numPr>
        <w:spacing w:after="160" w:line="256" w:lineRule="auto"/>
        <w:contextualSpacing/>
        <w:rPr>
          <w:rFonts w:eastAsia="Malgun Gothic"/>
          <w:b/>
          <w:bCs/>
        </w:rPr>
      </w:pPr>
      <w:r>
        <w:rPr>
          <w:b/>
          <w:bCs/>
          <w:iCs/>
          <w:snapToGrid w:val="0"/>
        </w:rPr>
        <w:t>S</w:t>
      </w:r>
      <w:r w:rsidR="008346B8" w:rsidRPr="00CB1841">
        <w:rPr>
          <w:b/>
          <w:bCs/>
          <w:iCs/>
          <w:snapToGrid w:val="0"/>
        </w:rPr>
        <w:t xml:space="preserve">upport increasing the field </w:t>
      </w:r>
      <w:r w:rsidR="00786C17" w:rsidRPr="00CB1841">
        <w:rPr>
          <w:b/>
          <w:bCs/>
          <w:iCs/>
          <w:snapToGrid w:val="0"/>
        </w:rPr>
        <w:t>size of the DAI</w:t>
      </w:r>
      <w:r>
        <w:rPr>
          <w:b/>
          <w:bCs/>
          <w:iCs/>
          <w:snapToGrid w:val="0"/>
        </w:rPr>
        <w:t xml:space="preserve"> </w:t>
      </w:r>
      <w:r w:rsidR="00294EBE">
        <w:rPr>
          <w:b/>
          <w:bCs/>
          <w:iCs/>
          <w:snapToGrid w:val="0"/>
        </w:rPr>
        <w:t xml:space="preserve">based on RRC configuration </w:t>
      </w:r>
      <w:r>
        <w:rPr>
          <w:b/>
          <w:bCs/>
          <w:iCs/>
          <w:snapToGrid w:val="0"/>
        </w:rPr>
        <w:t xml:space="preserve">to increase the reliability against the </w:t>
      </w:r>
      <w:r w:rsidRPr="00355263">
        <w:rPr>
          <w:b/>
          <w:bCs/>
          <w:iCs/>
          <w:snapToGrid w:val="0"/>
        </w:rPr>
        <w:t>missed DCI</w:t>
      </w:r>
      <w:r w:rsidR="00F72102" w:rsidRPr="00355263">
        <w:rPr>
          <w:b/>
          <w:bCs/>
          <w:iCs/>
          <w:snapToGrid w:val="0"/>
        </w:rPr>
        <w:t>s</w:t>
      </w:r>
      <w:r w:rsidRPr="00355263">
        <w:rPr>
          <w:b/>
          <w:bCs/>
          <w:iCs/>
          <w:snapToGrid w:val="0"/>
        </w:rPr>
        <w:t xml:space="preserve">. </w:t>
      </w:r>
      <w:r w:rsidR="00DE6B13" w:rsidRPr="00355263">
        <w:rPr>
          <w:b/>
          <w:bCs/>
          <w:iCs/>
          <w:snapToGrid w:val="0"/>
        </w:rPr>
        <w:t>However, the field size increase should be subject to gNB configuration</w:t>
      </w:r>
      <w:r w:rsidR="008461A6" w:rsidRPr="00355263">
        <w:rPr>
          <w:b/>
          <w:bCs/>
          <w:iCs/>
          <w:snapToGrid w:val="0"/>
        </w:rPr>
        <w:t>.</w:t>
      </w:r>
    </w:p>
    <w:p w14:paraId="5AAB6978" w14:textId="673E14A1" w:rsidR="00294EBE" w:rsidRPr="00CB1841" w:rsidRDefault="00FE215E" w:rsidP="00CB1841">
      <w:pPr>
        <w:pStyle w:val="ListParagraph"/>
        <w:numPr>
          <w:ilvl w:val="0"/>
          <w:numId w:val="28"/>
        </w:numPr>
        <w:spacing w:after="160" w:line="256" w:lineRule="auto"/>
        <w:contextualSpacing/>
        <w:rPr>
          <w:rFonts w:eastAsia="Malgun Gothic"/>
          <w:b/>
          <w:bCs/>
        </w:rPr>
      </w:pPr>
      <w:r>
        <w:rPr>
          <w:b/>
          <w:bCs/>
          <w:iCs/>
          <w:snapToGrid w:val="0"/>
        </w:rPr>
        <w:t>Allow a</w:t>
      </w:r>
      <w:r w:rsidR="00294EBE">
        <w:rPr>
          <w:b/>
          <w:bCs/>
          <w:iCs/>
          <w:snapToGrid w:val="0"/>
        </w:rPr>
        <w:t>djust</w:t>
      </w:r>
      <w:r>
        <w:rPr>
          <w:b/>
          <w:bCs/>
          <w:iCs/>
          <w:snapToGrid w:val="0"/>
        </w:rPr>
        <w:t>ing</w:t>
      </w:r>
      <w:r w:rsidR="00294EBE">
        <w:rPr>
          <w:b/>
          <w:bCs/>
          <w:iCs/>
          <w:snapToGrid w:val="0"/>
        </w:rPr>
        <w:t xml:space="preserve"> the resolution of the DAI counter based on the </w:t>
      </w:r>
      <w:r w:rsidR="008D506D">
        <w:rPr>
          <w:b/>
          <w:bCs/>
          <w:iCs/>
          <w:snapToGrid w:val="0"/>
        </w:rPr>
        <w:t xml:space="preserve">greatest </w:t>
      </w:r>
      <w:r w:rsidR="00294EBE">
        <w:rPr>
          <w:b/>
          <w:bCs/>
          <w:iCs/>
          <w:snapToGrid w:val="0"/>
        </w:rPr>
        <w:t>common divisor of the number of the SLIVs</w:t>
      </w:r>
      <w:r>
        <w:rPr>
          <w:b/>
          <w:bCs/>
          <w:iCs/>
          <w:snapToGrid w:val="0"/>
        </w:rPr>
        <w:t>,</w:t>
      </w:r>
      <w:r w:rsidR="00294EBE">
        <w:rPr>
          <w:b/>
          <w:bCs/>
          <w:iCs/>
          <w:snapToGrid w:val="0"/>
        </w:rPr>
        <w:t xml:space="preserve"> </w:t>
      </w:r>
      <w:r w:rsidR="00CD6F5E">
        <w:rPr>
          <w:b/>
          <w:bCs/>
          <w:iCs/>
          <w:snapToGrid w:val="0"/>
        </w:rPr>
        <w:t>among</w:t>
      </w:r>
      <w:r w:rsidR="00294EBE">
        <w:rPr>
          <w:b/>
          <w:bCs/>
          <w:iCs/>
          <w:snapToGrid w:val="0"/>
        </w:rPr>
        <w:t xml:space="preserve"> the</w:t>
      </w:r>
      <w:r w:rsidR="0042248B">
        <w:rPr>
          <w:b/>
          <w:bCs/>
          <w:iCs/>
          <w:snapToGrid w:val="0"/>
        </w:rPr>
        <w:t xml:space="preserve"> rows of the</w:t>
      </w:r>
      <w:r w:rsidR="00294EBE">
        <w:rPr>
          <w:b/>
          <w:bCs/>
          <w:iCs/>
          <w:snapToGrid w:val="0"/>
        </w:rPr>
        <w:t xml:space="preserve"> TDRA</w:t>
      </w:r>
      <w:r>
        <w:rPr>
          <w:b/>
          <w:bCs/>
          <w:iCs/>
          <w:snapToGrid w:val="0"/>
        </w:rPr>
        <w:t xml:space="preserve">, i.e., each increment of the DAI indicates </w:t>
      </w:r>
      <w:r w:rsidR="00B979A0">
        <w:rPr>
          <w:b/>
          <w:bCs/>
          <w:iCs/>
          <w:snapToGrid w:val="0"/>
        </w:rPr>
        <w:t xml:space="preserve">that a number of PDSCHs equal to </w:t>
      </w:r>
      <w:r w:rsidR="00294EBE">
        <w:rPr>
          <w:b/>
          <w:bCs/>
          <w:iCs/>
          <w:snapToGrid w:val="0"/>
        </w:rPr>
        <w:t xml:space="preserve"> </w:t>
      </w:r>
      <w:r w:rsidR="008D506D">
        <w:rPr>
          <w:b/>
          <w:bCs/>
          <w:iCs/>
          <w:snapToGrid w:val="0"/>
        </w:rPr>
        <w:t>the greatest common divisor has been sent.</w:t>
      </w:r>
    </w:p>
    <w:p w14:paraId="466B15DD" w14:textId="658B09B3" w:rsidR="00CB1841" w:rsidRPr="00103FE3" w:rsidRDefault="004F26EE" w:rsidP="00CB1841">
      <w:pPr>
        <w:pStyle w:val="ListParagraph"/>
        <w:numPr>
          <w:ilvl w:val="0"/>
          <w:numId w:val="28"/>
        </w:numPr>
        <w:spacing w:after="160" w:line="256" w:lineRule="auto"/>
        <w:contextualSpacing/>
        <w:rPr>
          <w:rFonts w:eastAsia="Malgun Gothic"/>
          <w:b/>
          <w:bCs/>
        </w:rPr>
      </w:pPr>
      <w:r>
        <w:rPr>
          <w:b/>
          <w:bCs/>
          <w:iCs/>
          <w:snapToGrid w:val="0"/>
        </w:rPr>
        <w:t>Introduce new rule on how to place the virtual DCIs</w:t>
      </w:r>
      <w:r w:rsidR="00103FE3">
        <w:rPr>
          <w:b/>
          <w:bCs/>
          <w:iCs/>
          <w:snapToGrid w:val="0"/>
        </w:rPr>
        <w:t>:</w:t>
      </w:r>
      <w:r w:rsidR="00103FE3">
        <w:rPr>
          <w:b/>
          <w:bCs/>
          <w:iCs/>
          <w:snapToGrid w:val="0"/>
        </w:rPr>
        <w:tab/>
      </w:r>
    </w:p>
    <w:p w14:paraId="22000C8B" w14:textId="072A6FCA" w:rsidR="00103FE3" w:rsidRPr="00131FAA" w:rsidRDefault="00103FE3" w:rsidP="00103FE3">
      <w:pPr>
        <w:pStyle w:val="ListParagraph"/>
        <w:numPr>
          <w:ilvl w:val="1"/>
          <w:numId w:val="28"/>
        </w:numPr>
        <w:spacing w:after="160" w:line="256" w:lineRule="auto"/>
        <w:contextualSpacing/>
        <w:rPr>
          <w:rFonts w:eastAsia="Malgun Gothic"/>
          <w:b/>
          <w:bCs/>
        </w:rPr>
      </w:pPr>
      <w:r>
        <w:rPr>
          <w:b/>
          <w:bCs/>
          <w:iCs/>
          <w:snapToGrid w:val="0"/>
        </w:rPr>
        <w:t xml:space="preserve">Option 1: </w:t>
      </w:r>
      <w:r w:rsidR="00131FAA">
        <w:rPr>
          <w:b/>
          <w:bCs/>
          <w:iCs/>
          <w:snapToGrid w:val="0"/>
        </w:rPr>
        <w:t>According to a d</w:t>
      </w:r>
      <w:r>
        <w:rPr>
          <w:b/>
          <w:bCs/>
          <w:iCs/>
          <w:snapToGrid w:val="0"/>
        </w:rPr>
        <w:t>efine</w:t>
      </w:r>
      <w:r w:rsidR="00F1101B">
        <w:rPr>
          <w:b/>
          <w:bCs/>
          <w:iCs/>
          <w:snapToGrid w:val="0"/>
        </w:rPr>
        <w:t>d</w:t>
      </w:r>
      <w:r>
        <w:rPr>
          <w:b/>
          <w:bCs/>
          <w:iCs/>
          <w:snapToGrid w:val="0"/>
        </w:rPr>
        <w:t xml:space="preserve"> symbol level offset </w:t>
      </w:r>
      <w:r w:rsidR="00131FAA">
        <w:rPr>
          <w:b/>
          <w:bCs/>
          <w:iCs/>
          <w:snapToGrid w:val="0"/>
        </w:rPr>
        <w:t>for each additional PDSCH</w:t>
      </w:r>
    </w:p>
    <w:p w14:paraId="5C61A726" w14:textId="7D3D68DA" w:rsidR="001C2D79" w:rsidRPr="00C3141C" w:rsidRDefault="00131FAA" w:rsidP="006A1FCB">
      <w:pPr>
        <w:pStyle w:val="ListParagraph"/>
        <w:numPr>
          <w:ilvl w:val="1"/>
          <w:numId w:val="28"/>
        </w:numPr>
        <w:spacing w:line="256" w:lineRule="auto"/>
        <w:contextualSpacing/>
        <w:jc w:val="left"/>
        <w:rPr>
          <w:rFonts w:eastAsia="Malgun Gothic"/>
        </w:rPr>
      </w:pPr>
      <w:r w:rsidRPr="00131FAA">
        <w:rPr>
          <w:b/>
          <w:bCs/>
          <w:iCs/>
          <w:snapToGrid w:val="0"/>
        </w:rPr>
        <w:t xml:space="preserve">Option 2: At the start symbol of each PDSCH allocation </w:t>
      </w:r>
    </w:p>
    <w:p w14:paraId="37EC6AC8" w14:textId="395268C0" w:rsidR="00C3141C" w:rsidRPr="00131FAA" w:rsidRDefault="00C3141C" w:rsidP="00C3141C">
      <w:pPr>
        <w:pStyle w:val="ListParagraph"/>
        <w:numPr>
          <w:ilvl w:val="0"/>
          <w:numId w:val="28"/>
        </w:numPr>
        <w:spacing w:line="256" w:lineRule="auto"/>
        <w:contextualSpacing/>
        <w:jc w:val="left"/>
        <w:rPr>
          <w:rFonts w:eastAsia="Malgun Gothic"/>
        </w:rPr>
      </w:pPr>
      <w:r>
        <w:rPr>
          <w:b/>
          <w:bCs/>
          <w:iCs/>
          <w:snapToGrid w:val="0"/>
        </w:rPr>
        <w:t>D</w:t>
      </w:r>
      <w:r w:rsidR="00530F05">
        <w:rPr>
          <w:b/>
          <w:bCs/>
          <w:iCs/>
          <w:snapToGrid w:val="0"/>
        </w:rPr>
        <w:t xml:space="preserve">AI counting </w:t>
      </w:r>
      <w:r w:rsidR="002930AE">
        <w:rPr>
          <w:b/>
          <w:bCs/>
          <w:iCs/>
          <w:snapToGrid w:val="0"/>
        </w:rPr>
        <w:t>follows</w:t>
      </w:r>
      <w:r w:rsidR="00530F05">
        <w:rPr>
          <w:b/>
          <w:bCs/>
          <w:iCs/>
          <w:snapToGrid w:val="0"/>
        </w:rPr>
        <w:t xml:space="preserve"> the legacy approach after introducing the virtual DCIs.</w:t>
      </w:r>
    </w:p>
    <w:bookmarkEnd w:id="7"/>
    <w:p w14:paraId="163DCF00" w14:textId="0F692E76" w:rsidR="00892903" w:rsidRDefault="00894B83" w:rsidP="00F2730C">
      <w:pPr>
        <w:pStyle w:val="Heading2"/>
      </w:pPr>
      <w:r>
        <w:t xml:space="preserve">DCI contents for multi-PDSCH </w:t>
      </w:r>
    </w:p>
    <w:p w14:paraId="51281B31" w14:textId="32171F97" w:rsidR="002B5DB3" w:rsidRPr="002B5DB3" w:rsidRDefault="002B5DB3" w:rsidP="002B5DB3">
      <w:pPr>
        <w:rPr>
          <w:lang w:val="en-GB"/>
        </w:rPr>
      </w:pPr>
      <w:r>
        <w:rPr>
          <w:lang w:val="en-GB"/>
        </w:rPr>
        <w:t>For the DCI contents for multi-PDSCH grant, the following agreement was made in RAN1 #104-bis-e.</w:t>
      </w:r>
    </w:p>
    <w:tbl>
      <w:tblPr>
        <w:tblStyle w:val="TableGrid"/>
        <w:tblpPr w:leftFromText="180" w:rightFromText="180" w:vertAnchor="text" w:horzAnchor="margin" w:tblpY="6"/>
        <w:tblW w:w="0" w:type="auto"/>
        <w:tblLook w:val="04A0" w:firstRow="1" w:lastRow="0" w:firstColumn="1" w:lastColumn="0" w:noHBand="0" w:noVBand="1"/>
      </w:tblPr>
      <w:tblGrid>
        <w:gridCol w:w="9962"/>
      </w:tblGrid>
      <w:tr w:rsidR="007420C7" w14:paraId="02961380" w14:textId="77777777" w:rsidTr="007420C7">
        <w:tc>
          <w:tcPr>
            <w:tcW w:w="9962" w:type="dxa"/>
          </w:tcPr>
          <w:p w14:paraId="235615A9" w14:textId="0AEC6871" w:rsidR="007420C7" w:rsidRPr="00A97D4C" w:rsidRDefault="007420C7" w:rsidP="00A97D4C">
            <w:pPr>
              <w:pStyle w:val="Heading3"/>
              <w:numPr>
                <w:ilvl w:val="0"/>
                <w:numId w:val="0"/>
              </w:numPr>
              <w:outlineLvl w:val="2"/>
              <w:rPr>
                <w:rFonts w:asciiTheme="majorBidi" w:eastAsia="Malgun Gothic" w:hAnsiTheme="majorBidi" w:cstheme="majorBidi"/>
                <w:sz w:val="20"/>
              </w:rPr>
            </w:pPr>
            <w:r w:rsidRPr="00A97D4C">
              <w:rPr>
                <w:rFonts w:asciiTheme="majorBidi" w:hAnsiTheme="majorBidi" w:cstheme="majorBidi"/>
                <w:sz w:val="20"/>
                <w:highlight w:val="green"/>
                <w:lang w:eastAsia="ko-KR"/>
              </w:rPr>
              <w:t>Agreement:</w:t>
            </w:r>
            <w:r w:rsidR="00FD592D" w:rsidRPr="00A97D4C">
              <w:rPr>
                <w:rFonts w:asciiTheme="majorBidi" w:hAnsiTheme="majorBidi" w:cstheme="majorBidi"/>
                <w:sz w:val="20"/>
                <w:lang w:eastAsia="ko-KR"/>
              </w:rPr>
              <w:t xml:space="preserve"> </w:t>
            </w:r>
            <w:r w:rsidR="00FD592D" w:rsidRPr="00A97D4C">
              <w:rPr>
                <w:rFonts w:asciiTheme="majorBidi" w:hAnsiTheme="majorBidi" w:cstheme="majorBidi"/>
                <w:sz w:val="20"/>
                <w:lang w:eastAsia="ko-KR"/>
              </w:rPr>
              <w:br/>
            </w:r>
            <w:r w:rsidRPr="00A97D4C">
              <w:rPr>
                <w:rFonts w:asciiTheme="majorBidi" w:hAnsiTheme="majorBidi" w:cstheme="majorBidi"/>
                <w:sz w:val="20"/>
                <w:lang w:eastAsia="ko-KR"/>
              </w:rPr>
              <w:t>For a DCI that can schedule multiple PDSCHs,</w:t>
            </w:r>
          </w:p>
          <w:p w14:paraId="3889A998" w14:textId="77777777" w:rsidR="007420C7" w:rsidRDefault="007420C7" w:rsidP="00FD592D">
            <w:pPr>
              <w:pStyle w:val="ListParagraph"/>
              <w:numPr>
                <w:ilvl w:val="0"/>
                <w:numId w:val="17"/>
              </w:numPr>
              <w:spacing w:after="160" w:line="256" w:lineRule="auto"/>
              <w:contextualSpacing/>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143C04B6" w14:textId="77777777" w:rsidR="007420C7" w:rsidRDefault="007420C7" w:rsidP="00FD592D">
            <w:pPr>
              <w:pStyle w:val="ListParagraph"/>
              <w:numPr>
                <w:ilvl w:val="0"/>
                <w:numId w:val="17"/>
              </w:numPr>
              <w:spacing w:after="160" w:line="256" w:lineRule="auto"/>
              <w:contextualSpacing/>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5D8D8173" w14:textId="77777777" w:rsidR="007420C7" w:rsidRDefault="007420C7" w:rsidP="00FD592D">
            <w:pPr>
              <w:pStyle w:val="ListParagraph"/>
              <w:numPr>
                <w:ilvl w:val="0"/>
                <w:numId w:val="17"/>
              </w:numPr>
              <w:spacing w:after="160" w:line="256" w:lineRule="auto"/>
              <w:contextualSpacing/>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18ABEF9F" w14:textId="77777777" w:rsidR="007420C7" w:rsidRDefault="007420C7" w:rsidP="00FD592D">
            <w:pPr>
              <w:pStyle w:val="ListParagraph"/>
              <w:numPr>
                <w:ilvl w:val="0"/>
                <w:numId w:val="17"/>
              </w:numPr>
              <w:spacing w:after="160" w:line="256" w:lineRule="auto"/>
              <w:contextualSpacing/>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17146E3F" w14:textId="77777777" w:rsidR="007420C7" w:rsidRDefault="007420C7" w:rsidP="00FD592D">
            <w:pPr>
              <w:pStyle w:val="ListParagraph"/>
              <w:numPr>
                <w:ilvl w:val="0"/>
                <w:numId w:val="17"/>
              </w:numPr>
              <w:spacing w:after="160" w:line="256" w:lineRule="auto"/>
              <w:contextualSpacing/>
              <w:rPr>
                <w:rFonts w:eastAsia="Malgun Gothic"/>
              </w:rPr>
            </w:pPr>
            <w:r>
              <w:rPr>
                <w:rFonts w:eastAsia="Malgun Gothic"/>
                <w:lang w:eastAsia="ko-KR"/>
              </w:rPr>
              <w:t>FFS:</w:t>
            </w:r>
          </w:p>
          <w:p w14:paraId="05D6254E" w14:textId="77777777" w:rsidR="007420C7" w:rsidRDefault="007420C7" w:rsidP="00FD592D">
            <w:pPr>
              <w:pStyle w:val="ListParagraph"/>
              <w:numPr>
                <w:ilvl w:val="1"/>
                <w:numId w:val="17"/>
              </w:numPr>
              <w:spacing w:after="160" w:line="256" w:lineRule="auto"/>
              <w:contextualSpacing/>
              <w:rPr>
                <w:rFonts w:eastAsia="Malgun Gothic"/>
              </w:rPr>
            </w:pPr>
            <w:r>
              <w:rPr>
                <w:rFonts w:eastAsia="Malgun Gothic" w:hint="eastAsia"/>
                <w:lang w:eastAsia="ko-KR"/>
              </w:rPr>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0361E094" w14:textId="77777777" w:rsidR="007420C7" w:rsidRDefault="007420C7" w:rsidP="00FD592D">
            <w:pPr>
              <w:pStyle w:val="ListParagraph"/>
              <w:numPr>
                <w:ilvl w:val="1"/>
                <w:numId w:val="17"/>
              </w:numPr>
              <w:spacing w:after="160" w:line="256" w:lineRule="auto"/>
              <w:contextualSpacing/>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5CF14CEE" w14:textId="77777777" w:rsidR="007420C7" w:rsidRDefault="007420C7" w:rsidP="00FD592D">
            <w:pPr>
              <w:pStyle w:val="ListParagraph"/>
              <w:numPr>
                <w:ilvl w:val="1"/>
                <w:numId w:val="17"/>
              </w:numPr>
              <w:spacing w:after="160" w:line="256" w:lineRule="auto"/>
              <w:contextualSpacing/>
              <w:rPr>
                <w:rFonts w:eastAsia="Malgun Gothic"/>
              </w:rPr>
            </w:pPr>
            <w:r>
              <w:t>Whether/how to signal CBGFI/CBGTI if CBGFI/CBGTI is supported for multi-PDSCH scheduling</w:t>
            </w:r>
          </w:p>
          <w:p w14:paraId="30212506" w14:textId="77777777" w:rsidR="007420C7" w:rsidRDefault="007420C7" w:rsidP="007420C7">
            <w:pPr>
              <w:overflowPunct/>
              <w:autoSpaceDE/>
              <w:autoSpaceDN/>
              <w:adjustRightInd/>
              <w:spacing w:after="0"/>
              <w:jc w:val="left"/>
              <w:textAlignment w:val="auto"/>
            </w:pPr>
            <w:r>
              <w:t>Details of fields that are common with multi-PUSCH scheduling, e.g., TDRA, FDRA, priority indicator, including potential enhancements</w:t>
            </w:r>
          </w:p>
        </w:tc>
      </w:tr>
    </w:tbl>
    <w:p w14:paraId="5B5CBA70" w14:textId="77777777" w:rsidR="002B5DB3" w:rsidRDefault="002B5DB3" w:rsidP="002C4348">
      <w:pPr>
        <w:overflowPunct/>
        <w:autoSpaceDE/>
        <w:autoSpaceDN/>
        <w:adjustRightInd/>
        <w:spacing w:after="0"/>
        <w:jc w:val="left"/>
        <w:textAlignment w:val="auto"/>
      </w:pPr>
    </w:p>
    <w:p w14:paraId="0E248D85" w14:textId="74B85847" w:rsidR="002C4348" w:rsidRDefault="00487CBD" w:rsidP="002C4348">
      <w:pPr>
        <w:overflowPunct/>
        <w:autoSpaceDE/>
        <w:autoSpaceDN/>
        <w:adjustRightInd/>
        <w:spacing w:after="0"/>
        <w:jc w:val="left"/>
        <w:textAlignment w:val="auto"/>
      </w:pPr>
      <w:r>
        <w:t>Similar to the 1</w:t>
      </w:r>
      <w:r w:rsidRPr="00487CBD">
        <w:rPr>
          <w:vertAlign w:val="superscript"/>
        </w:rPr>
        <w:t>st</w:t>
      </w:r>
      <w:r>
        <w:t xml:space="preserve"> TB related fields, t</w:t>
      </w:r>
      <w:r w:rsidR="00B877B6">
        <w:t xml:space="preserve">he </w:t>
      </w:r>
      <w:r w:rsidR="002C4348">
        <w:t>2</w:t>
      </w:r>
      <w:r w:rsidR="002C4348" w:rsidRPr="002C4348">
        <w:rPr>
          <w:vertAlign w:val="superscript"/>
        </w:rPr>
        <w:t>nd</w:t>
      </w:r>
      <w:r w:rsidR="002C4348">
        <w:t xml:space="preserve"> TB can be </w:t>
      </w:r>
      <w:r>
        <w:t xml:space="preserve">configured, i.e., MCS appears once and applies </w:t>
      </w:r>
      <w:r w:rsidR="00A20186">
        <w:t xml:space="preserve">to the second TB of each PDSCH, NDI is </w:t>
      </w:r>
      <w:r w:rsidR="009E7DC1">
        <w:t>signaled per PDSCH and applied to the second TB of each PDSCH</w:t>
      </w:r>
      <w:r w:rsidR="003759BD">
        <w:t xml:space="preserve">, RV is signaled per PDSCH with </w:t>
      </w:r>
      <w:r w:rsidR="003759BD">
        <w:rPr>
          <w:rFonts w:eastAsia="Malgun Gothic"/>
          <w:lang w:eastAsia="ko-KR"/>
        </w:rPr>
        <w:t>2 bits if only a single PDSCH is scheduled or 1 bit for each PDSCH otherwise and applies to the second TB of each PDSCH</w:t>
      </w:r>
      <w:r w:rsidR="003E6239">
        <w:rPr>
          <w:rFonts w:eastAsia="Malgun Gothic"/>
          <w:lang w:eastAsia="ko-KR"/>
        </w:rPr>
        <w:t>.</w:t>
      </w:r>
    </w:p>
    <w:p w14:paraId="222057F2" w14:textId="4025D35C" w:rsidR="00EC7333" w:rsidRDefault="00C94A1E" w:rsidP="00C94A1E">
      <w:pPr>
        <w:overflowPunct/>
        <w:autoSpaceDE/>
        <w:autoSpaceDN/>
        <w:adjustRightInd/>
        <w:spacing w:after="0"/>
        <w:jc w:val="left"/>
        <w:textAlignment w:val="auto"/>
      </w:pPr>
      <w:r w:rsidRPr="00A34DED">
        <w:t>The CBG retransmission is not supported for</w:t>
      </w:r>
      <w:r w:rsidR="00327601">
        <w:t xml:space="preserve"> the</w:t>
      </w:r>
      <w:r w:rsidRPr="00A34DED">
        <w:t xml:space="preserve"> Rel-16 multi-PUSCH grant, for more than one PUSCH scheduled by the same DCI, CBG retransmission should not be supported for </w:t>
      </w:r>
      <w:r w:rsidR="00327601">
        <w:t xml:space="preserve">the </w:t>
      </w:r>
      <w:r w:rsidRPr="00A34DED">
        <w:t>60GHz band</w:t>
      </w:r>
      <w:r w:rsidR="003759BD">
        <w:t xml:space="preserve"> for both multi-PDSCH and multi-PUSCH grants</w:t>
      </w:r>
      <w:r>
        <w:t>.</w:t>
      </w:r>
      <w:r w:rsidR="003E6239">
        <w:t xml:space="preserve"> </w:t>
      </w:r>
      <w:r w:rsidR="00EC7333">
        <w:t xml:space="preserve">Otherwise, we can end up with up to four sub-codebooks based on the discussions on dynamic codebook enhancements which is too complicated and is not justified. </w:t>
      </w:r>
    </w:p>
    <w:p w14:paraId="47AA5282" w14:textId="062A4253" w:rsidR="00EC7333" w:rsidRDefault="00C94A1E" w:rsidP="00C94A1E">
      <w:pPr>
        <w:overflowPunct/>
        <w:autoSpaceDE/>
        <w:autoSpaceDN/>
        <w:adjustRightInd/>
        <w:spacing w:after="0"/>
        <w:jc w:val="left"/>
        <w:textAlignment w:val="auto"/>
      </w:pPr>
      <w:r w:rsidRPr="00A34DED">
        <w:t xml:space="preserve">Regarding URLLC related fields, we support applying </w:t>
      </w:r>
      <w:r>
        <w:t>them</w:t>
      </w:r>
      <w:r w:rsidRPr="00A34DED">
        <w:t xml:space="preserve"> for all PUSCHs/</w:t>
      </w:r>
      <w:r>
        <w:t xml:space="preserve"> or PUCCHs corresponding to the </w:t>
      </w:r>
      <w:r w:rsidRPr="00A34DED">
        <w:t>PDSCHs scheduled by the same DCI, otherwise</w:t>
      </w:r>
      <w:r w:rsidR="00327601">
        <w:t>,</w:t>
      </w:r>
      <w:r w:rsidRPr="00A34DED">
        <w:t xml:space="preserve"> this will require defining multiple PUCCHs for the same multi-PDSCH grant which will complicate the UE processing and we do not support. </w:t>
      </w:r>
    </w:p>
    <w:p w14:paraId="0B357D8E" w14:textId="2534625A" w:rsidR="00C3246D" w:rsidRDefault="00C94A1E" w:rsidP="00CB5F0B">
      <w:pPr>
        <w:overflowPunct/>
        <w:autoSpaceDE/>
        <w:autoSpaceDN/>
        <w:adjustRightInd/>
        <w:spacing w:after="0"/>
        <w:jc w:val="left"/>
        <w:textAlignment w:val="auto"/>
      </w:pPr>
      <w:r w:rsidRPr="00A34DED">
        <w:t xml:space="preserve">The current range of values for RBG sizes (up to 16) for FDRA, seems to be sufficient for the higher band as the FDRA field will be shared by all the PUSCHs/PDSCHs scheduled by the same DCI and we still maintain 275RBs as the maximum allowed BWP. </w:t>
      </w:r>
      <w:r w:rsidR="00EC7333">
        <w:t xml:space="preserve">The discussion on the FDRA optimization can be deprioritized. </w:t>
      </w:r>
      <w:r w:rsidR="00EC7333">
        <w:br/>
      </w:r>
      <w:r w:rsidRPr="00A34DED">
        <w:t xml:space="preserve">Regarding the frequency hopping, </w:t>
      </w:r>
      <w:r w:rsidR="00341072">
        <w:t>with</w:t>
      </w:r>
      <w:r w:rsidR="00327601">
        <w:t xml:space="preserve"> a</w:t>
      </w:r>
      <w:r w:rsidR="00341072">
        <w:t xml:space="preserve"> single PUSCH grant both inter and intra</w:t>
      </w:r>
      <w:r w:rsidR="00327601">
        <w:t>-</w:t>
      </w:r>
      <w:r w:rsidR="00341072">
        <w:t>slot hopping should be supported similar to the legacy, while for more than one PUSCH</w:t>
      </w:r>
      <w:r w:rsidR="00CA53B7">
        <w:t>, Rel. 16 does not support frequency hopping</w:t>
      </w:r>
      <w:r w:rsidR="00BB6021">
        <w:t>. Given the time frame for discussions, intra-slot hopping can be discussed for</w:t>
      </w:r>
      <w:r w:rsidR="00327601">
        <w:t xml:space="preserve"> a</w:t>
      </w:r>
      <w:r w:rsidR="00BB6021">
        <w:t xml:space="preserve"> m</w:t>
      </w:r>
      <w:r w:rsidR="0020053B">
        <w:t>ulti-PUSCH grant with two or more PUSCHs w</w:t>
      </w:r>
      <w:r w:rsidR="00327601">
        <w:t>h</w:t>
      </w:r>
      <w:r w:rsidR="0020053B">
        <w:t xml:space="preserve">ere the hopping pattern can be repeated for all the granted slots. </w:t>
      </w:r>
      <w:r>
        <w:br/>
      </w:r>
      <w:r w:rsidR="00D715C4">
        <w:t xml:space="preserve">The </w:t>
      </w:r>
      <w:r w:rsidR="001F1991">
        <w:t xml:space="preserve">VRB-to-PRB mapping and </w:t>
      </w:r>
      <w:r w:rsidR="00D715C4">
        <w:t xml:space="preserve">PRB bundling size indicator should be </w:t>
      </w:r>
      <w:r w:rsidR="001F1991">
        <w:t>singled once per DCI and be</w:t>
      </w:r>
      <w:r w:rsidR="00D715C4">
        <w:t xml:space="preserve"> applied for all granted data allocations by the same DCI</w:t>
      </w:r>
      <w:r w:rsidR="00CB5F0B">
        <w:t xml:space="preserve">. Similarly, the ZP CSI trigger to be applied for all the slots of the granted PDSCHs. </w:t>
      </w:r>
    </w:p>
    <w:p w14:paraId="4EAEBC77" w14:textId="77777777" w:rsidR="00D715C4" w:rsidRDefault="00D715C4" w:rsidP="00C94A1E">
      <w:pPr>
        <w:overflowPunct/>
        <w:autoSpaceDE/>
        <w:autoSpaceDN/>
        <w:adjustRightInd/>
        <w:spacing w:after="0"/>
        <w:jc w:val="left"/>
        <w:textAlignment w:val="auto"/>
      </w:pPr>
    </w:p>
    <w:p w14:paraId="6B760DCC" w14:textId="266CB2ED" w:rsidR="003759BD" w:rsidRDefault="00C94A1E" w:rsidP="003759BD">
      <w:pPr>
        <w:overflowPunct/>
        <w:autoSpaceDE/>
        <w:autoSpaceDN/>
        <w:adjustRightInd/>
        <w:spacing w:after="0"/>
        <w:jc w:val="left"/>
        <w:textAlignment w:val="auto"/>
        <w:rPr>
          <w:b/>
          <w:bCs/>
        </w:rPr>
      </w:pPr>
      <w:bookmarkStart w:id="8" w:name="p9"/>
      <w:r w:rsidRPr="00A34DED">
        <w:rPr>
          <w:b/>
          <w:bCs/>
        </w:rPr>
        <w:t>Proposal</w:t>
      </w:r>
      <w:r w:rsidR="00C435B4">
        <w:rPr>
          <w:b/>
          <w:bCs/>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9</w:t>
      </w:r>
      <w:r w:rsidR="00C435B4">
        <w:rPr>
          <w:b/>
          <w:bCs/>
          <w:lang w:eastAsia="x-none"/>
        </w:rPr>
        <w:fldChar w:fldCharType="end"/>
      </w:r>
      <w:r w:rsidRPr="00A34DED">
        <w:rPr>
          <w:b/>
          <w:bCs/>
        </w:rPr>
        <w:t>: For multi-P</w:t>
      </w:r>
      <w:r>
        <w:rPr>
          <w:b/>
          <w:bCs/>
        </w:rPr>
        <w:t>D</w:t>
      </w:r>
      <w:r w:rsidRPr="00A34DED">
        <w:rPr>
          <w:b/>
          <w:bCs/>
        </w:rPr>
        <w:t>SCH</w:t>
      </w:r>
      <w:r w:rsidR="001F5181">
        <w:rPr>
          <w:b/>
          <w:bCs/>
        </w:rPr>
        <w:t>/PUSCH</w:t>
      </w:r>
      <w:r w:rsidRPr="00A34DED">
        <w:rPr>
          <w:b/>
          <w:bCs/>
        </w:rPr>
        <w:t xml:space="preserve"> DCI fields enhancements:</w:t>
      </w:r>
    </w:p>
    <w:p w14:paraId="0B2E245C" w14:textId="5B075358" w:rsidR="003759BD" w:rsidRDefault="003759BD" w:rsidP="003759BD">
      <w:pPr>
        <w:pStyle w:val="ListParagraph"/>
        <w:numPr>
          <w:ilvl w:val="0"/>
          <w:numId w:val="32"/>
        </w:numPr>
        <w:jc w:val="left"/>
        <w:rPr>
          <w:b/>
          <w:bCs/>
        </w:rPr>
      </w:pPr>
      <w:r>
        <w:rPr>
          <w:b/>
          <w:bCs/>
        </w:rPr>
        <w:t>Second TB can be su</w:t>
      </w:r>
      <w:r w:rsidR="001F5181">
        <w:rPr>
          <w:b/>
          <w:bCs/>
        </w:rPr>
        <w:t xml:space="preserve">pported for each PDSCH </w:t>
      </w:r>
    </w:p>
    <w:p w14:paraId="28D61FA9" w14:textId="4187F05F" w:rsidR="003759BD" w:rsidRPr="006B3418" w:rsidRDefault="003759BD" w:rsidP="00DF4767">
      <w:pPr>
        <w:pStyle w:val="ListParagraph"/>
        <w:numPr>
          <w:ilvl w:val="0"/>
          <w:numId w:val="33"/>
        </w:numPr>
        <w:spacing w:after="160" w:line="256" w:lineRule="auto"/>
        <w:contextualSpacing/>
        <w:rPr>
          <w:rFonts w:eastAsia="Malgun Gothic"/>
          <w:b/>
          <w:bCs/>
        </w:rPr>
      </w:pPr>
      <w:r w:rsidRPr="006B3418">
        <w:rPr>
          <w:rFonts w:eastAsia="Malgun Gothic"/>
          <w:b/>
          <w:bCs/>
          <w:lang w:eastAsia="ko-KR"/>
        </w:rPr>
        <w:t>MCS for the 2</w:t>
      </w:r>
      <w:r w:rsidRPr="006B3418">
        <w:rPr>
          <w:rFonts w:eastAsia="Malgun Gothic"/>
          <w:b/>
          <w:bCs/>
          <w:vertAlign w:val="superscript"/>
          <w:lang w:eastAsia="ko-KR"/>
        </w:rPr>
        <w:t>nd</w:t>
      </w:r>
      <w:r w:rsidRPr="006B3418">
        <w:rPr>
          <w:rFonts w:eastAsia="Malgun Gothic"/>
          <w:b/>
          <w:bCs/>
          <w:lang w:eastAsia="ko-KR"/>
        </w:rPr>
        <w:t xml:space="preserve"> TB: This appears only once in the DCI and applies commonly to the </w:t>
      </w:r>
      <w:r w:rsidR="001F5181" w:rsidRPr="006B3418">
        <w:rPr>
          <w:rFonts w:eastAsia="Malgun Gothic"/>
          <w:b/>
          <w:bCs/>
          <w:lang w:eastAsia="ko-KR"/>
        </w:rPr>
        <w:t xml:space="preserve">second </w:t>
      </w:r>
      <w:r w:rsidRPr="006B3418">
        <w:rPr>
          <w:rFonts w:eastAsia="Malgun Gothic"/>
          <w:b/>
          <w:bCs/>
          <w:lang w:eastAsia="ko-KR"/>
        </w:rPr>
        <w:t>TB of each PDSCH</w:t>
      </w:r>
    </w:p>
    <w:p w14:paraId="39894C1E" w14:textId="2BE34C53" w:rsidR="003759BD" w:rsidRPr="006B3418" w:rsidRDefault="003759BD" w:rsidP="00DF4767">
      <w:pPr>
        <w:pStyle w:val="ListParagraph"/>
        <w:numPr>
          <w:ilvl w:val="0"/>
          <w:numId w:val="33"/>
        </w:numPr>
        <w:spacing w:after="160" w:line="256" w:lineRule="auto"/>
        <w:contextualSpacing/>
        <w:rPr>
          <w:rFonts w:eastAsia="Malgun Gothic"/>
          <w:b/>
          <w:bCs/>
        </w:rPr>
      </w:pPr>
      <w:r w:rsidRPr="006B3418">
        <w:rPr>
          <w:rFonts w:eastAsia="Malgun Gothic"/>
          <w:b/>
          <w:bCs/>
          <w:lang w:eastAsia="ko-KR"/>
        </w:rPr>
        <w:t>NDI for the 2</w:t>
      </w:r>
      <w:r w:rsidRPr="006B3418">
        <w:rPr>
          <w:rFonts w:eastAsia="Malgun Gothic"/>
          <w:b/>
          <w:bCs/>
          <w:vertAlign w:val="superscript"/>
          <w:lang w:eastAsia="ko-KR"/>
        </w:rPr>
        <w:t>nd</w:t>
      </w:r>
      <w:r w:rsidRPr="006B3418">
        <w:rPr>
          <w:rFonts w:eastAsia="Malgun Gothic"/>
          <w:b/>
          <w:bCs/>
          <w:lang w:eastAsia="ko-KR"/>
        </w:rPr>
        <w:t xml:space="preserve"> TB: This is signaled per PDSCH and applies to the </w:t>
      </w:r>
      <w:r w:rsidR="001F5181" w:rsidRPr="006B3418">
        <w:rPr>
          <w:rFonts w:eastAsia="Malgun Gothic"/>
          <w:b/>
          <w:bCs/>
          <w:lang w:eastAsia="ko-KR"/>
        </w:rPr>
        <w:t>second</w:t>
      </w:r>
      <w:r w:rsidRPr="006B3418">
        <w:rPr>
          <w:rFonts w:eastAsia="Malgun Gothic"/>
          <w:b/>
          <w:bCs/>
          <w:lang w:eastAsia="ko-KR"/>
        </w:rPr>
        <w:t xml:space="preserve"> TB of each PDSCH</w:t>
      </w:r>
    </w:p>
    <w:p w14:paraId="6339FDCD" w14:textId="2F64582F" w:rsidR="003759BD" w:rsidRPr="006B3418" w:rsidRDefault="003759BD" w:rsidP="00DF4767">
      <w:pPr>
        <w:pStyle w:val="ListParagraph"/>
        <w:numPr>
          <w:ilvl w:val="0"/>
          <w:numId w:val="33"/>
        </w:numPr>
        <w:spacing w:after="160" w:line="256" w:lineRule="auto"/>
        <w:contextualSpacing/>
        <w:rPr>
          <w:rFonts w:eastAsia="Malgun Gothic"/>
          <w:b/>
          <w:bCs/>
        </w:rPr>
      </w:pPr>
      <w:r w:rsidRPr="006B3418">
        <w:rPr>
          <w:rFonts w:eastAsia="Malgun Gothic"/>
          <w:b/>
          <w:bCs/>
          <w:lang w:eastAsia="ko-KR"/>
        </w:rPr>
        <w:t>RV for the 2</w:t>
      </w:r>
      <w:r w:rsidRPr="006B3418">
        <w:rPr>
          <w:rFonts w:eastAsia="Malgun Gothic"/>
          <w:b/>
          <w:bCs/>
          <w:vertAlign w:val="superscript"/>
          <w:lang w:eastAsia="ko-KR"/>
        </w:rPr>
        <w:t>nd</w:t>
      </w:r>
      <w:r w:rsidRPr="006B3418">
        <w:rPr>
          <w:rFonts w:eastAsia="Malgun Gothic"/>
          <w:b/>
          <w:bCs/>
          <w:lang w:eastAsia="ko-KR"/>
        </w:rPr>
        <w:t xml:space="preserve"> TB: This is signaled per PDSCH, with 2 bits if only a single PDSCH is scheduled or 1 bit for each PDSCH otherwise and applies to the </w:t>
      </w:r>
      <w:r w:rsidR="001F5181" w:rsidRPr="006B3418">
        <w:rPr>
          <w:rFonts w:eastAsia="Malgun Gothic"/>
          <w:b/>
          <w:bCs/>
          <w:lang w:eastAsia="ko-KR"/>
        </w:rPr>
        <w:t>second</w:t>
      </w:r>
      <w:r w:rsidRPr="006B3418">
        <w:rPr>
          <w:rFonts w:eastAsia="Malgun Gothic"/>
          <w:b/>
          <w:bCs/>
          <w:lang w:eastAsia="ko-KR"/>
        </w:rPr>
        <w:t xml:space="preserve"> TB of each PDSCH</w:t>
      </w:r>
    </w:p>
    <w:p w14:paraId="4CBBAB2D" w14:textId="0FB0986F" w:rsidR="00C94A1E" w:rsidRPr="00A34DED" w:rsidRDefault="00C94A1E" w:rsidP="00C94A1E">
      <w:pPr>
        <w:pStyle w:val="ListParagraph"/>
        <w:numPr>
          <w:ilvl w:val="0"/>
          <w:numId w:val="18"/>
        </w:numPr>
        <w:rPr>
          <w:b/>
          <w:bCs/>
        </w:rPr>
      </w:pPr>
      <w:r w:rsidRPr="00A34DED">
        <w:rPr>
          <w:b/>
          <w:bCs/>
          <w:lang w:eastAsia="x-none"/>
        </w:rPr>
        <w:t>CBGTI: Not to be supported for more than one P</w:t>
      </w:r>
      <w:r>
        <w:rPr>
          <w:b/>
          <w:bCs/>
          <w:lang w:eastAsia="x-none"/>
        </w:rPr>
        <w:t>D</w:t>
      </w:r>
      <w:r w:rsidRPr="00A34DED">
        <w:rPr>
          <w:b/>
          <w:bCs/>
          <w:lang w:eastAsia="x-none"/>
        </w:rPr>
        <w:t>SCH</w:t>
      </w:r>
      <w:r w:rsidR="003A1EA8">
        <w:rPr>
          <w:b/>
          <w:bCs/>
          <w:lang w:eastAsia="x-none"/>
        </w:rPr>
        <w:t>/PUSCH</w:t>
      </w:r>
    </w:p>
    <w:p w14:paraId="20E6D2D2" w14:textId="5D080927" w:rsidR="00C94A1E" w:rsidRDefault="00C94A1E" w:rsidP="00C94A1E">
      <w:pPr>
        <w:pStyle w:val="ListParagraph"/>
        <w:numPr>
          <w:ilvl w:val="0"/>
          <w:numId w:val="11"/>
        </w:numPr>
        <w:rPr>
          <w:b/>
          <w:bCs/>
        </w:rPr>
      </w:pPr>
      <w:r w:rsidRPr="00A34DED">
        <w:rPr>
          <w:b/>
          <w:bCs/>
        </w:rPr>
        <w:t>Frequency hopping</w:t>
      </w:r>
      <w:r w:rsidR="00DD637A">
        <w:rPr>
          <w:b/>
          <w:bCs/>
        </w:rPr>
        <w:t xml:space="preserve"> for </w:t>
      </w:r>
      <w:r w:rsidR="00AC0357">
        <w:rPr>
          <w:b/>
          <w:bCs/>
        </w:rPr>
        <w:t>multi-</w:t>
      </w:r>
      <w:r w:rsidR="00DD637A">
        <w:rPr>
          <w:b/>
          <w:bCs/>
        </w:rPr>
        <w:t>PUSCH</w:t>
      </w:r>
      <w:r w:rsidRPr="00A34DED">
        <w:rPr>
          <w:b/>
          <w:bCs/>
        </w:rPr>
        <w:t xml:space="preserve">: </w:t>
      </w:r>
      <w:r w:rsidR="00AC0357">
        <w:rPr>
          <w:b/>
          <w:bCs/>
        </w:rPr>
        <w:t xml:space="preserve">supported </w:t>
      </w:r>
      <w:r w:rsidR="00732543">
        <w:rPr>
          <w:b/>
          <w:bCs/>
        </w:rPr>
        <w:t xml:space="preserve">for single PUSCH grant, and </w:t>
      </w:r>
      <w:r w:rsidR="00862EAF">
        <w:rPr>
          <w:b/>
          <w:bCs/>
        </w:rPr>
        <w:t>FFS</w:t>
      </w:r>
      <w:r w:rsidR="00732543">
        <w:rPr>
          <w:b/>
          <w:bCs/>
        </w:rPr>
        <w:t xml:space="preserve">: support </w:t>
      </w:r>
      <w:r w:rsidR="00862EAF">
        <w:rPr>
          <w:b/>
          <w:bCs/>
        </w:rPr>
        <w:t>intra-slot hopping</w:t>
      </w:r>
      <w:r w:rsidR="00DD637A">
        <w:rPr>
          <w:b/>
          <w:bCs/>
        </w:rPr>
        <w:t xml:space="preserve"> </w:t>
      </w:r>
      <w:r w:rsidR="00732543">
        <w:rPr>
          <w:b/>
          <w:bCs/>
        </w:rPr>
        <w:t xml:space="preserve">for two or more PUSCHs </w:t>
      </w:r>
    </w:p>
    <w:p w14:paraId="33063AA8" w14:textId="26D40D6A" w:rsidR="005A417E" w:rsidRDefault="005A417E" w:rsidP="00C94A1E">
      <w:pPr>
        <w:pStyle w:val="ListParagraph"/>
        <w:numPr>
          <w:ilvl w:val="0"/>
          <w:numId w:val="11"/>
        </w:numPr>
        <w:rPr>
          <w:b/>
          <w:bCs/>
        </w:rPr>
      </w:pPr>
      <w:r>
        <w:rPr>
          <w:b/>
          <w:bCs/>
        </w:rPr>
        <w:t>FDRA optimization can be deprioritize</w:t>
      </w:r>
      <w:r w:rsidR="00862EAF">
        <w:rPr>
          <w:b/>
          <w:bCs/>
        </w:rPr>
        <w:t>d</w:t>
      </w:r>
      <w:r>
        <w:rPr>
          <w:b/>
          <w:bCs/>
        </w:rPr>
        <w:t xml:space="preserve"> </w:t>
      </w:r>
    </w:p>
    <w:p w14:paraId="6E383970" w14:textId="0B30E10D" w:rsidR="00D715C4" w:rsidRDefault="001F1991" w:rsidP="00C94A1E">
      <w:pPr>
        <w:pStyle w:val="ListParagraph"/>
        <w:numPr>
          <w:ilvl w:val="0"/>
          <w:numId w:val="11"/>
        </w:numPr>
        <w:rPr>
          <w:b/>
          <w:bCs/>
        </w:rPr>
      </w:pPr>
      <w:r w:rsidRPr="001F1991">
        <w:rPr>
          <w:b/>
          <w:bCs/>
        </w:rPr>
        <w:t>VRB-to-PRB mapping and</w:t>
      </w:r>
      <w:r>
        <w:t xml:space="preserve"> </w:t>
      </w:r>
      <w:r w:rsidR="00D715C4">
        <w:rPr>
          <w:b/>
          <w:bCs/>
        </w:rPr>
        <w:t xml:space="preserve">PRB bundling size indicator: to be applied for all granted data allocations </w:t>
      </w:r>
      <w:r w:rsidR="00CA53B7">
        <w:rPr>
          <w:b/>
          <w:bCs/>
        </w:rPr>
        <w:t xml:space="preserve">by the same DCI </w:t>
      </w:r>
    </w:p>
    <w:p w14:paraId="6D365D6D" w14:textId="6E24079B" w:rsidR="00B70509" w:rsidRPr="00B70509" w:rsidRDefault="00B70509" w:rsidP="00C94A1E">
      <w:pPr>
        <w:pStyle w:val="ListParagraph"/>
        <w:numPr>
          <w:ilvl w:val="0"/>
          <w:numId w:val="11"/>
        </w:numPr>
        <w:rPr>
          <w:b/>
          <w:bCs/>
        </w:rPr>
      </w:pPr>
      <w:r w:rsidRPr="00B70509">
        <w:rPr>
          <w:b/>
          <w:bCs/>
        </w:rPr>
        <w:t xml:space="preserve">ZP CSI trigger: to be applied to all the slots granted by the same DCI. </w:t>
      </w:r>
    </w:p>
    <w:bookmarkEnd w:id="8"/>
    <w:p w14:paraId="75BEB1B4" w14:textId="77777777" w:rsidR="00894B83" w:rsidRDefault="00894B83" w:rsidP="00456AA3">
      <w:pPr>
        <w:overflowPunct/>
        <w:autoSpaceDE/>
        <w:autoSpaceDN/>
        <w:adjustRightInd/>
        <w:spacing w:after="0"/>
        <w:jc w:val="left"/>
        <w:textAlignment w:val="auto"/>
      </w:pPr>
    </w:p>
    <w:p w14:paraId="68694666" w14:textId="77777777" w:rsidR="00892903" w:rsidRPr="00A34DED" w:rsidRDefault="00892903" w:rsidP="00F2730C">
      <w:pPr>
        <w:pStyle w:val="Heading3"/>
      </w:pPr>
      <w:r>
        <w:t xml:space="preserve">TDRA for multi-PDSCH/PUSCH grants </w:t>
      </w:r>
    </w:p>
    <w:p w14:paraId="29BEAD4B" w14:textId="77777777" w:rsidR="00892903" w:rsidRDefault="00892903" w:rsidP="00892903">
      <w:pPr>
        <w:overflowPunct/>
        <w:autoSpaceDE/>
        <w:autoSpaceDN/>
        <w:adjustRightInd/>
        <w:spacing w:after="0"/>
        <w:jc w:val="left"/>
        <w:textAlignment w:val="auto"/>
        <w:rPr>
          <w:i/>
          <w:iCs/>
          <w:lang w:eastAsia="x-none"/>
        </w:rPr>
      </w:pPr>
      <w:r w:rsidRPr="00A34DED">
        <w:rPr>
          <w:rFonts w:eastAsia="Malgun Gothic"/>
        </w:rPr>
        <w:t xml:space="preserve">For the multi-PUSCH, we agreed to use Rel-16 multi-PUSCH scheduling as a baseline, in addition to some enhancements for the DCI fields. </w:t>
      </w:r>
      <w:r>
        <w:rPr>
          <w:rFonts w:eastAsia="Malgun Gothic"/>
        </w:rPr>
        <w:t xml:space="preserve">In RAN1 #104-bis-e, the following agreement was made. </w:t>
      </w:r>
    </w:p>
    <w:p w14:paraId="130AE1DA" w14:textId="77777777" w:rsidR="00892903" w:rsidRDefault="00892903" w:rsidP="00892903">
      <w:pPr>
        <w:overflowPunct/>
        <w:autoSpaceDE/>
        <w:autoSpaceDN/>
        <w:adjustRightInd/>
        <w:spacing w:after="0"/>
        <w:jc w:val="left"/>
        <w:textAlignment w:val="auto"/>
        <w:rPr>
          <w:i/>
          <w:iCs/>
          <w:lang w:eastAsia="x-none"/>
        </w:rPr>
      </w:pPr>
    </w:p>
    <w:tbl>
      <w:tblPr>
        <w:tblStyle w:val="TableGrid"/>
        <w:tblW w:w="0" w:type="auto"/>
        <w:tblLook w:val="04A0" w:firstRow="1" w:lastRow="0" w:firstColumn="1" w:lastColumn="0" w:noHBand="0" w:noVBand="1"/>
      </w:tblPr>
      <w:tblGrid>
        <w:gridCol w:w="9962"/>
      </w:tblGrid>
      <w:tr w:rsidR="00892903" w14:paraId="27B9EE40" w14:textId="77777777" w:rsidTr="006A1FCB">
        <w:tc>
          <w:tcPr>
            <w:tcW w:w="9962" w:type="dxa"/>
          </w:tcPr>
          <w:p w14:paraId="2387263D" w14:textId="77777777" w:rsidR="00892903" w:rsidRPr="00E22223" w:rsidRDefault="00892903" w:rsidP="006A1FCB">
            <w:pPr>
              <w:spacing w:after="160" w:line="256" w:lineRule="auto"/>
              <w:contextualSpacing/>
              <w:rPr>
                <w:rFonts w:eastAsia="Malgun Gothic"/>
              </w:rPr>
            </w:pPr>
            <w:r w:rsidRPr="006A1FCB">
              <w:rPr>
                <w:rFonts w:eastAsia="Malgun Gothic"/>
                <w:highlight w:val="green"/>
              </w:rPr>
              <w:t>Agreement</w:t>
            </w:r>
            <w:r w:rsidRPr="00E22223">
              <w:rPr>
                <w:rFonts w:eastAsia="Malgun Gothic"/>
              </w:rPr>
              <w:t xml:space="preserve"> </w:t>
            </w:r>
          </w:p>
          <w:p w14:paraId="12D2B4ED" w14:textId="77777777" w:rsidR="00892903" w:rsidRDefault="00892903" w:rsidP="006A1FCB">
            <w:pPr>
              <w:pStyle w:val="ListParagraph"/>
              <w:numPr>
                <w:ilvl w:val="0"/>
                <w:numId w:val="17"/>
              </w:numPr>
              <w:spacing w:after="160" w:line="256" w:lineRule="auto"/>
              <w:contextualSpacing/>
              <w:rPr>
                <w:rFonts w:eastAsia="Malgun Gothic"/>
              </w:rPr>
            </w:pPr>
            <w:r>
              <w:rPr>
                <w:rFonts w:eastAsia="Malgun Gothic"/>
                <w:lang w:eastAsia="ko-KR"/>
              </w:rPr>
              <w:t>For a DCI that can schedule multiple PUSCHs,</w:t>
            </w:r>
          </w:p>
          <w:p w14:paraId="38739581" w14:textId="7E3C08DC" w:rsidR="00892903" w:rsidRDefault="00892903" w:rsidP="006A1FCB">
            <w:pPr>
              <w:pStyle w:val="ListParagraph"/>
              <w:numPr>
                <w:ilvl w:val="1"/>
                <w:numId w:val="17"/>
              </w:numPr>
              <w:spacing w:after="160" w:line="256" w:lineRule="auto"/>
              <w:contextualSpacing/>
              <w:rPr>
                <w:rFonts w:eastAsia="Malgun Gothic"/>
              </w:rPr>
            </w:pPr>
            <w:r>
              <w:rPr>
                <w:rFonts w:eastAsia="Malgun Gothic"/>
                <w:lang w:eastAsia="ko-KR"/>
              </w:rPr>
              <w:t>TDRA: Alt 2 (</w:t>
            </w:r>
            <w: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r w:rsidR="00D27684">
              <w:t>signaled</w:t>
            </w:r>
            <w:r>
              <w:t xml:space="preserve"> in DCI.</w:t>
            </w:r>
            <w:r>
              <w:rPr>
                <w:rFonts w:eastAsia="Malgun Gothic"/>
                <w:lang w:eastAsia="ko-KR"/>
              </w:rPr>
              <w:t xml:space="preserve">), </w:t>
            </w:r>
            <w:r>
              <w:rPr>
                <w:rFonts w:eastAsia="Malgun Gothic"/>
              </w:rPr>
              <w:t>as per agreement made in RAN1#104-e</w:t>
            </w:r>
          </w:p>
          <w:p w14:paraId="453B528D" w14:textId="77777777" w:rsidR="00892903" w:rsidRDefault="00892903" w:rsidP="006A1FCB">
            <w:pPr>
              <w:pStyle w:val="ListParagraph"/>
              <w:numPr>
                <w:ilvl w:val="2"/>
                <w:numId w:val="17"/>
              </w:numPr>
              <w:spacing w:after="160" w:line="256" w:lineRule="auto"/>
              <w:contextualSpacing/>
              <w:rPr>
                <w:rFonts w:eastAsia="Malgun Gothic"/>
              </w:rPr>
            </w:pPr>
            <w:r>
              <w:rPr>
                <w:rFonts w:eastAsia="Malgun Gothic"/>
                <w:lang w:eastAsia="ko-KR"/>
              </w:rPr>
              <w:t>FFS: signaling details</w:t>
            </w:r>
          </w:p>
          <w:p w14:paraId="0FDAB927" w14:textId="77777777" w:rsidR="00892903" w:rsidRDefault="00892903" w:rsidP="006A1FCB">
            <w:pPr>
              <w:pStyle w:val="ListParagraph"/>
              <w:numPr>
                <w:ilvl w:val="1"/>
                <w:numId w:val="17"/>
              </w:numPr>
              <w:spacing w:after="160" w:line="256" w:lineRule="auto"/>
              <w:contextualSpacing/>
              <w:rPr>
                <w:rFonts w:eastAsia="Malgun Gothic"/>
              </w:rPr>
            </w:pPr>
            <w:r>
              <w:rPr>
                <w:rFonts w:eastAsia="Malgun Gothic"/>
              </w:rPr>
              <w:t>Note: Alt 2 does not preclude continuous resource allocation in time-domain.</w:t>
            </w:r>
          </w:p>
          <w:p w14:paraId="54FDBD0C" w14:textId="77777777" w:rsidR="00892903" w:rsidRDefault="00892903" w:rsidP="006A1FCB">
            <w:pPr>
              <w:pStyle w:val="ListParagraph"/>
              <w:numPr>
                <w:ilvl w:val="0"/>
                <w:numId w:val="17"/>
              </w:numPr>
              <w:spacing w:after="160" w:line="256" w:lineRule="auto"/>
              <w:contextualSpacing/>
              <w:rPr>
                <w:rFonts w:eastAsia="Malgun Gothic"/>
              </w:rPr>
            </w:pPr>
            <w:r>
              <w:rPr>
                <w:rFonts w:eastAsia="Malgun Gothic"/>
                <w:lang w:eastAsia="ko-KR"/>
              </w:rPr>
              <w:t>For a DCI that can schedule multiple PDSCHs,</w:t>
            </w:r>
          </w:p>
          <w:p w14:paraId="254A51D3" w14:textId="3659A975" w:rsidR="00892903" w:rsidRDefault="00892903" w:rsidP="006A1FCB">
            <w:pPr>
              <w:pStyle w:val="ListParagraph"/>
              <w:numPr>
                <w:ilvl w:val="1"/>
                <w:numId w:val="17"/>
              </w:numPr>
              <w:spacing w:after="160" w:line="256" w:lineRule="auto"/>
              <w:contextualSpacing/>
              <w:rPr>
                <w:rFonts w:eastAsia="Malgun Gothic"/>
              </w:rPr>
            </w:pPr>
            <w:r>
              <w:rPr>
                <w:rFonts w:eastAsia="Malgun Gothic"/>
                <w:lang w:eastAsia="ko-KR"/>
              </w:rPr>
              <w:t xml:space="preserve">TDRA: </w:t>
            </w:r>
            <w: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r w:rsidR="00D27684">
              <w:t>signaled</w:t>
            </w:r>
            <w:r>
              <w:t xml:space="preserve"> in DCI.</w:t>
            </w:r>
          </w:p>
          <w:p w14:paraId="2F31C4AD" w14:textId="77777777" w:rsidR="00892903" w:rsidRDefault="00892903" w:rsidP="006A1FCB">
            <w:pPr>
              <w:pStyle w:val="ListParagraph"/>
              <w:numPr>
                <w:ilvl w:val="2"/>
                <w:numId w:val="17"/>
              </w:numPr>
              <w:spacing w:after="160" w:line="256" w:lineRule="auto"/>
              <w:contextualSpacing/>
              <w:rPr>
                <w:rFonts w:eastAsia="Malgun Gothic"/>
              </w:rPr>
            </w:pPr>
            <w:r>
              <w:rPr>
                <w:rFonts w:eastAsia="Malgun Gothic"/>
                <w:lang w:eastAsia="ko-KR"/>
              </w:rPr>
              <w:t>FFS: signaling details</w:t>
            </w:r>
          </w:p>
          <w:p w14:paraId="2352DD18" w14:textId="77777777" w:rsidR="00892903" w:rsidRDefault="00892903" w:rsidP="006A1FCB">
            <w:pPr>
              <w:pStyle w:val="ListParagraph"/>
              <w:numPr>
                <w:ilvl w:val="1"/>
                <w:numId w:val="17"/>
              </w:numPr>
              <w:spacing w:after="160" w:line="256" w:lineRule="auto"/>
              <w:contextualSpacing/>
              <w:rPr>
                <w:rFonts w:eastAsia="Malgun Gothic"/>
              </w:rPr>
            </w:pPr>
            <w:r>
              <w:rPr>
                <w:rFonts w:eastAsia="Malgun Gothic"/>
              </w:rPr>
              <w:t>Note: This does not preclude continuous resource allocation in time-domain.</w:t>
            </w:r>
          </w:p>
          <w:p w14:paraId="3CF896B2" w14:textId="77777777" w:rsidR="00892903" w:rsidRDefault="00892903" w:rsidP="006A1FCB">
            <w:pPr>
              <w:pStyle w:val="ListParagraph"/>
              <w:numPr>
                <w:ilvl w:val="1"/>
                <w:numId w:val="17"/>
              </w:numPr>
              <w:spacing w:after="160" w:line="256" w:lineRule="auto"/>
              <w:contextualSpacing/>
              <w:rPr>
                <w:i/>
                <w:iCs/>
                <w:lang w:eastAsia="x-none"/>
              </w:rPr>
            </w:pPr>
            <w:r>
              <w:rPr>
                <w:rFonts w:eastAsia="Malgun Gothic"/>
                <w:lang w:eastAsia="ko-KR"/>
              </w:rPr>
              <w:t>Note: Multi-PDSCH scheduling for the case of 120 kHz SCS is still FFS as per prior agreement. This case can be addressed after this FFS has been decided.</w:t>
            </w:r>
          </w:p>
        </w:tc>
      </w:tr>
    </w:tbl>
    <w:p w14:paraId="22F5E0F2" w14:textId="77777777" w:rsidR="00892903" w:rsidRPr="006B6B76" w:rsidDel="00294CD4" w:rsidRDefault="00892903" w:rsidP="00892903">
      <w:pPr>
        <w:overflowPunct/>
        <w:autoSpaceDE/>
        <w:autoSpaceDN/>
        <w:adjustRightInd/>
        <w:spacing w:after="0"/>
        <w:jc w:val="left"/>
        <w:textAlignment w:val="auto"/>
        <w:rPr>
          <w:i/>
          <w:iCs/>
          <w:lang w:eastAsia="x-none"/>
        </w:rPr>
      </w:pPr>
    </w:p>
    <w:p w14:paraId="619DD5B8" w14:textId="1A2A3502" w:rsidR="00892903" w:rsidRDefault="00892903" w:rsidP="00892903">
      <w:pPr>
        <w:overflowPunct/>
        <w:autoSpaceDE/>
        <w:autoSpaceDN/>
        <w:adjustRightInd/>
        <w:spacing w:after="0"/>
        <w:jc w:val="left"/>
        <w:textAlignment w:val="auto"/>
      </w:pPr>
      <w:r>
        <w:t xml:space="preserve">Each row in the TDRA table can be extended to include multiple SLIVs, and the SLIVs can be </w:t>
      </w:r>
      <w:r w:rsidR="001974D8">
        <w:t>discontinuous</w:t>
      </w:r>
      <w:r>
        <w:t xml:space="preserve"> in </w:t>
      </w:r>
      <w:r w:rsidR="001974D8">
        <w:t xml:space="preserve">the </w:t>
      </w:r>
      <w:r>
        <w:t xml:space="preserve">time </w:t>
      </w:r>
      <w:r w:rsidR="001974D8">
        <w:t>domain and</w:t>
      </w:r>
      <w:r w:rsidR="00A66766">
        <w:t xml:space="preserve"> keep a single value for k0/k2.</w:t>
      </w:r>
      <w:r>
        <w:t xml:space="preserve"> For example, a multi-PDSCH grant can indicate a row in the TDRA table that includes k0=0, and two SLIVs </w:t>
      </w:r>
      <w:r w:rsidRPr="00345DEF">
        <w:t>SLIV1: (S,L)=(2,5) and SLIV2: (S,L)=(9,5)</w:t>
      </w:r>
      <w:r>
        <w:t>, then with this allocation we can have symbols 7 and 8 as a time gap. Such</w:t>
      </w:r>
      <w:r w:rsidR="001974D8">
        <w:t xml:space="preserve"> a</w:t>
      </w:r>
      <w:r>
        <w:t xml:space="preserve"> gap is to</w:t>
      </w:r>
      <w:r w:rsidR="00B91C1D">
        <w:t>o</w:t>
      </w:r>
      <w:r>
        <w:t xml:space="preserve"> short to handle DL/UL and UL/DL switching</w:t>
      </w:r>
      <w:r w:rsidR="00B91C1D">
        <w:t xml:space="preserve"> </w:t>
      </w:r>
      <w:r w:rsidR="001974D8">
        <w:t>e</w:t>
      </w:r>
      <w:r w:rsidR="00B91C1D">
        <w:t>specially with large SCS, e.g., 960kHz</w:t>
      </w:r>
      <w:r>
        <w:t>, therefore a longer gap will be beneficial to allow PUCCH transmission, PDCCH monitoring, or UL data transmission. gNB can carefully design the SLIVs to have gaps up to 13 symbols. For example, a row in the TDRA table can</w:t>
      </w:r>
      <w:r w:rsidR="0087571B">
        <w:t xml:space="preserve"> </w:t>
      </w:r>
      <w:r>
        <w:t xml:space="preserve">include k0=0, and two SLIVs </w:t>
      </w:r>
      <w:r w:rsidRPr="00B770E1">
        <w:t>SLIV1: (S, L)=(1,4) and SLIV2: (S,</w:t>
      </w:r>
      <w:r>
        <w:t xml:space="preserve"> </w:t>
      </w:r>
      <w:r w:rsidRPr="00B770E1">
        <w:t>L)=(4,5)</w:t>
      </w:r>
      <w:r>
        <w:t xml:space="preserve">. Now, the second SLIV starts at symbol 4 which is covered by the first SLIV, therefore the UE can interpret by assuming the second SLIV to be granted in the slot k0+1. As illustrated in Fig. 2. </w:t>
      </w:r>
    </w:p>
    <w:p w14:paraId="08985AF9" w14:textId="0FF0EECF" w:rsidR="00892903" w:rsidRDefault="00A97D4C" w:rsidP="006A2C09">
      <w:pPr>
        <w:overflowPunct/>
        <w:autoSpaceDE/>
        <w:autoSpaceDN/>
        <w:adjustRightInd/>
        <w:spacing w:after="0"/>
        <w:jc w:val="center"/>
        <w:textAlignment w:val="auto"/>
      </w:pPr>
      <w:r>
        <w:object w:dxaOrig="7117" w:dyaOrig="1189" w14:anchorId="44984CF8">
          <v:shape id="_x0000_i1026" type="#_x0000_t75" style="width:444.1pt;height:70.55pt" o:ole="">
            <v:imagedata r:id="rId14" o:title=""/>
          </v:shape>
          <o:OLEObject Type="Embed" ProgID="Visio.Drawing.15" ShapeID="_x0000_i1026" DrawAspect="Content" ObjectID="_1682259596" r:id="rId15"/>
        </w:object>
      </w:r>
    </w:p>
    <w:p w14:paraId="57E6BCD3" w14:textId="77777777" w:rsidR="00892903" w:rsidRDefault="00892903" w:rsidP="00892903">
      <w:pPr>
        <w:pStyle w:val="Caption"/>
        <w:jc w:val="center"/>
      </w:pPr>
      <w:r>
        <w:t>Fig. 2: Multi-PDSCH/PUSCH grant with overlapped SLIVs</w:t>
      </w:r>
    </w:p>
    <w:p w14:paraId="233B53ED" w14:textId="4221B551" w:rsidR="00892903" w:rsidRDefault="00892903" w:rsidP="00892903">
      <w:pPr>
        <w:overflowPunct/>
        <w:autoSpaceDE/>
        <w:autoSpaceDN/>
        <w:adjustRightInd/>
        <w:spacing w:after="0"/>
        <w:jc w:val="left"/>
        <w:textAlignment w:val="auto"/>
      </w:pPr>
      <w:r>
        <w:t xml:space="preserve">With the aforementioned rule, we can have at most 13-symbol gap between two adjacent PDSCH/PUSCH allocations. To allow gaps longer than one slot, a new rule is needed. For example, we can allow SLIV value to be “0” and use it as </w:t>
      </w:r>
      <w:r w:rsidR="00223A04">
        <w:t>a</w:t>
      </w:r>
      <w:r w:rsidR="008170C6">
        <w:t xml:space="preserve">n </w:t>
      </w:r>
      <w:r>
        <w:t xml:space="preserve">indication that the next SLIV will be shifted by one slot. Consider the case where a row in the TDRA table includes k0=0, and three SLIVs: </w:t>
      </w:r>
      <w:r w:rsidRPr="005F3433">
        <w:t>and SLIV1: (S,L)=(1,4)</w:t>
      </w:r>
      <w:r>
        <w:t>,</w:t>
      </w:r>
      <w:r w:rsidR="00AB28D4">
        <w:t xml:space="preserve"> </w:t>
      </w:r>
      <w:r w:rsidRPr="005F3433">
        <w:t xml:space="preserve">SLIV2: 0, </w:t>
      </w:r>
      <w:r>
        <w:t xml:space="preserve">and </w:t>
      </w:r>
      <w:r w:rsidRPr="005F3433">
        <w:t>SLIV3: (S,L)=(9,5)</w:t>
      </w:r>
      <w:r>
        <w:t xml:space="preserve">. The UE can interpret this, by shifting the third SLIV to the next available slot as illustrated in Fig. 3. </w:t>
      </w:r>
    </w:p>
    <w:p w14:paraId="360F65C4" w14:textId="3AB63A08" w:rsidR="00892903" w:rsidRDefault="00932DF6" w:rsidP="006A2C09">
      <w:pPr>
        <w:pStyle w:val="Caption"/>
        <w:jc w:val="center"/>
      </w:pPr>
      <w:r>
        <w:object w:dxaOrig="9865" w:dyaOrig="1513" w14:anchorId="21CD9F69">
          <v:shape id="_x0000_i1027" type="#_x0000_t75" style="width:539.6pt;height:74pt" o:ole="">
            <v:imagedata r:id="rId16" o:title=""/>
          </v:shape>
          <o:OLEObject Type="Embed" ProgID="Visio.Drawing.15" ShapeID="_x0000_i1027" DrawAspect="Content" ObjectID="_1682259597" r:id="rId17"/>
        </w:object>
      </w:r>
    </w:p>
    <w:p w14:paraId="07BFF2AA" w14:textId="77777777" w:rsidR="00892903" w:rsidRDefault="00892903" w:rsidP="00892903">
      <w:pPr>
        <w:pStyle w:val="Caption"/>
        <w:jc w:val="center"/>
      </w:pPr>
      <w:r>
        <w:t>Fig. 3: Multi-PDSCH/PUSCH grant with slot-level gap</w:t>
      </w:r>
    </w:p>
    <w:p w14:paraId="7E2BDADA" w14:textId="39A5015C" w:rsidR="00892903" w:rsidRDefault="00494D42" w:rsidP="00456AA3">
      <w:pPr>
        <w:overflowPunct/>
        <w:autoSpaceDE/>
        <w:autoSpaceDN/>
        <w:adjustRightInd/>
        <w:spacing w:after="0"/>
        <w:jc w:val="left"/>
        <w:textAlignment w:val="auto"/>
        <w:rPr>
          <w:b/>
          <w:bCs/>
        </w:rPr>
      </w:pPr>
      <w:bookmarkStart w:id="9" w:name="p10"/>
      <w:r>
        <w:rPr>
          <w:b/>
          <w:bCs/>
        </w:rPr>
        <w:t>Proposal</w:t>
      </w:r>
      <w:r w:rsidR="00C435B4">
        <w:rPr>
          <w:b/>
          <w:bCs/>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10</w:t>
      </w:r>
      <w:r w:rsidR="00C435B4">
        <w:rPr>
          <w:b/>
          <w:bCs/>
          <w:lang w:eastAsia="x-none"/>
        </w:rPr>
        <w:fldChar w:fldCharType="end"/>
      </w:r>
      <w:r>
        <w:rPr>
          <w:b/>
          <w:bCs/>
        </w:rPr>
        <w:t xml:space="preserve">: For TDRA filed of multi-PDSCH/PUSCH grants with single DCI, </w:t>
      </w:r>
      <w:r w:rsidR="00B04879">
        <w:rPr>
          <w:b/>
          <w:bCs/>
        </w:rPr>
        <w:t>each row contains a single value of k0/k1 and multiple SLIVs</w:t>
      </w:r>
      <w:r w:rsidR="00544214">
        <w:rPr>
          <w:b/>
          <w:bCs/>
        </w:rPr>
        <w:t>, and</w:t>
      </w:r>
      <w:r>
        <w:rPr>
          <w:b/>
          <w:bCs/>
        </w:rPr>
        <w:t xml:space="preserve"> new rules </w:t>
      </w:r>
      <w:r w:rsidR="00544214">
        <w:rPr>
          <w:b/>
          <w:bCs/>
        </w:rPr>
        <w:t>are needed to be defined</w:t>
      </w:r>
      <w:r>
        <w:rPr>
          <w:b/>
          <w:bCs/>
        </w:rPr>
        <w:t xml:space="preserve"> </w:t>
      </w:r>
      <w:r>
        <w:rPr>
          <w:b/>
          <w:bCs/>
        </w:rPr>
        <w:tab/>
      </w:r>
    </w:p>
    <w:p w14:paraId="31BBA062" w14:textId="31FCA27E" w:rsidR="00494D42" w:rsidRDefault="00494D42" w:rsidP="00494D42">
      <w:pPr>
        <w:pStyle w:val="ListParagraph"/>
        <w:numPr>
          <w:ilvl w:val="0"/>
          <w:numId w:val="30"/>
        </w:numPr>
        <w:jc w:val="left"/>
        <w:rPr>
          <w:b/>
          <w:bCs/>
        </w:rPr>
      </w:pPr>
      <w:r>
        <w:rPr>
          <w:b/>
          <w:bCs/>
        </w:rPr>
        <w:t>For overlapping SLIVs</w:t>
      </w:r>
      <w:r w:rsidR="007161E1">
        <w:rPr>
          <w:b/>
          <w:bCs/>
        </w:rPr>
        <w:t>: the second SLIV to be allocated in the next slot.</w:t>
      </w:r>
    </w:p>
    <w:p w14:paraId="61C7D3A7" w14:textId="47F35AC8" w:rsidR="007161E1" w:rsidRDefault="00AC1B31" w:rsidP="00494D42">
      <w:pPr>
        <w:pStyle w:val="ListParagraph"/>
        <w:numPr>
          <w:ilvl w:val="0"/>
          <w:numId w:val="30"/>
        </w:numPr>
        <w:jc w:val="left"/>
        <w:rPr>
          <w:b/>
          <w:bCs/>
        </w:rPr>
      </w:pPr>
      <w:r>
        <w:rPr>
          <w:b/>
          <w:bCs/>
        </w:rPr>
        <w:t xml:space="preserve">Allow </w:t>
      </w:r>
      <w:r w:rsidR="007161E1">
        <w:rPr>
          <w:b/>
          <w:bCs/>
        </w:rPr>
        <w:t>S</w:t>
      </w:r>
      <w:r w:rsidR="003C04BF">
        <w:rPr>
          <w:b/>
          <w:bCs/>
        </w:rPr>
        <w:t xml:space="preserve">LIV </w:t>
      </w:r>
      <w:r w:rsidR="007161E1">
        <w:rPr>
          <w:b/>
          <w:bCs/>
        </w:rPr>
        <w:t xml:space="preserve">‘0’ to </w:t>
      </w:r>
      <w:r w:rsidR="003C04BF">
        <w:rPr>
          <w:b/>
          <w:bCs/>
        </w:rPr>
        <w:t>indicate</w:t>
      </w:r>
      <w:r w:rsidR="007161E1">
        <w:rPr>
          <w:b/>
          <w:bCs/>
        </w:rPr>
        <w:t xml:space="preserve"> slot level gaps between the adjacent allocations. </w:t>
      </w:r>
    </w:p>
    <w:bookmarkEnd w:id="9"/>
    <w:p w14:paraId="49ED5EF7" w14:textId="534C6F67" w:rsidR="003C3021" w:rsidRDefault="003C3021" w:rsidP="003C3021">
      <w:pPr>
        <w:jc w:val="left"/>
        <w:rPr>
          <w:b/>
          <w:bCs/>
        </w:rPr>
      </w:pPr>
    </w:p>
    <w:p w14:paraId="2D87AFE6" w14:textId="6EC06821" w:rsidR="003C3021" w:rsidRPr="00B912AA" w:rsidRDefault="003C3021" w:rsidP="003C3021">
      <w:r w:rsidRPr="00B912AA">
        <w:t xml:space="preserve">Before the RRC configuration, the TDRA is defined based on the default tables of PDSCH and PUSCH. The default tables of PDSCH have k0 with values 0 and 1, i.e., gNB can only schedule the UE within the same PDCCH slot or the next slot. For PUSCH default tables, the k2 values are limited based on the minimum PUSCH slot offset and it can take values </w:t>
      </w:r>
      <w:r w:rsidRPr="003C3021">
        <w:rPr>
          <w:i/>
          <w:iCs/>
        </w:rPr>
        <w:t>j,j+1,j+2,j+3</w:t>
      </w:r>
      <w:r w:rsidRPr="00B912AA">
        <w:t xml:space="preserve">, where </w:t>
      </w:r>
      <w:r w:rsidRPr="003C3021">
        <w:rPr>
          <w:i/>
          <w:iCs/>
        </w:rPr>
        <w:t xml:space="preserve">j </w:t>
      </w:r>
      <w:r w:rsidRPr="00B912AA">
        <w:t>depends on the SCS, i.e., gNB can only schedule the UE with PUSCH within 4 slots ahead from the minimum PUSCH scheduling offset. With multi-slot PDCCH monitoring, gNB should be able to schedule all the resources between any two adjacent PDCCH monitoring occasions. To do so, the ranges of the values of the slot offsets in the default TDRA tables need to be extended to the periodicity of the PDCCH monitoring. For example, if the UE will monitor the PDCCH every M slots, then the default TDRA tables should support</w:t>
      </w:r>
      <w:r>
        <w:t xml:space="preserve"> </w:t>
      </w:r>
      <w:r w:rsidRPr="00B912AA">
        <w:t xml:space="preserve">slot offsets up to M-1. Therefore, the default TDRA tables need to be defined per each SCS for the new band. </w:t>
      </w:r>
      <w:r>
        <w:t>In addition, f</w:t>
      </w:r>
      <w:r w:rsidRPr="00B912AA">
        <w:t>or the slots without PDCCH monitoring, the SLIV can be allowed to cover the whole slot, i.e., L=14.</w:t>
      </w:r>
    </w:p>
    <w:p w14:paraId="4973D422" w14:textId="6FBA28DA" w:rsidR="003C3021" w:rsidRPr="003C3021" w:rsidRDefault="003C3021" w:rsidP="003C3021">
      <w:pPr>
        <w:rPr>
          <w:b/>
          <w:bCs/>
        </w:rPr>
      </w:pPr>
      <w:bookmarkStart w:id="10" w:name="p11"/>
      <w:r w:rsidRPr="003C3021">
        <w:rPr>
          <w:b/>
          <w:bCs/>
        </w:rPr>
        <w:t>Proposal</w:t>
      </w:r>
      <w:r w:rsidR="00C435B4">
        <w:rPr>
          <w:b/>
          <w:bCs/>
        </w:rPr>
        <w:t xml:space="preserve"> </w:t>
      </w:r>
      <w:r w:rsidR="00C435B4">
        <w:rPr>
          <w:b/>
          <w:bCs/>
          <w:lang w:eastAsia="x-none"/>
        </w:rPr>
        <w:fldChar w:fldCharType="begin"/>
      </w:r>
      <w:r w:rsidR="00C435B4">
        <w:rPr>
          <w:b/>
          <w:bCs/>
          <w:lang w:eastAsia="x-none"/>
        </w:rPr>
        <w:instrText xml:space="preserve"> seq prop </w:instrText>
      </w:r>
      <w:r w:rsidR="00C435B4">
        <w:rPr>
          <w:b/>
          <w:bCs/>
          <w:lang w:eastAsia="x-none"/>
        </w:rPr>
        <w:fldChar w:fldCharType="separate"/>
      </w:r>
      <w:r w:rsidR="00355263">
        <w:rPr>
          <w:b/>
          <w:bCs/>
          <w:noProof/>
          <w:lang w:eastAsia="x-none"/>
        </w:rPr>
        <w:t>11</w:t>
      </w:r>
      <w:r w:rsidR="00C435B4">
        <w:rPr>
          <w:b/>
          <w:bCs/>
          <w:lang w:eastAsia="x-none"/>
        </w:rPr>
        <w:fldChar w:fldCharType="end"/>
      </w:r>
      <w:r w:rsidRPr="003C3021">
        <w:rPr>
          <w:b/>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p>
    <w:bookmarkEnd w:id="10"/>
    <w:p w14:paraId="2EBC1594" w14:textId="5438F2FC" w:rsidR="00774DFE" w:rsidRDefault="00F91D4B" w:rsidP="00F91D4B">
      <w:pPr>
        <w:pStyle w:val="Heading1"/>
        <w:rPr>
          <w:lang w:val="en-US"/>
        </w:rPr>
      </w:pPr>
      <w:r w:rsidRPr="00A42435">
        <w:rPr>
          <w:lang w:val="en-US"/>
        </w:rPr>
        <w:t>Conclusion</w:t>
      </w:r>
    </w:p>
    <w:p w14:paraId="6005D20F" w14:textId="230326FA" w:rsidR="0026206A" w:rsidRDefault="0026206A" w:rsidP="00B310B8">
      <w:pPr>
        <w:overflowPunct/>
        <w:autoSpaceDE/>
        <w:autoSpaceDN/>
        <w:adjustRightInd/>
        <w:spacing w:after="0"/>
        <w:jc w:val="left"/>
        <w:textAlignment w:val="auto"/>
        <w:rPr>
          <w:b/>
          <w:bCs/>
          <w:lang w:eastAsia="x-none"/>
        </w:rPr>
      </w:pPr>
      <w:r>
        <w:fldChar w:fldCharType="begin"/>
      </w:r>
      <w:r>
        <w:instrText xml:space="preserve"> REF p1_2 \h </w:instrText>
      </w:r>
      <w:r>
        <w:fldChar w:fldCharType="separate"/>
      </w:r>
      <w:r w:rsidRPr="00A34DED">
        <w:rPr>
          <w:b/>
          <w:bCs/>
          <w:lang w:eastAsia="x-none"/>
        </w:rPr>
        <w:t>Proposal</w:t>
      </w:r>
      <w:r>
        <w:rPr>
          <w:b/>
          <w:bCs/>
          <w:lang w:eastAsia="x-none"/>
        </w:rPr>
        <w:t xml:space="preserve"> </w:t>
      </w:r>
      <w:r>
        <w:rPr>
          <w:b/>
          <w:bCs/>
          <w:noProof/>
          <w:lang w:eastAsia="x-none"/>
        </w:rPr>
        <w:t>1</w:t>
      </w:r>
      <w:r w:rsidRPr="00A34DED">
        <w:rPr>
          <w:b/>
          <w:bCs/>
          <w:lang w:eastAsia="x-none"/>
        </w:rPr>
        <w:t>: Multi-PDSCH</w:t>
      </w:r>
      <w:r>
        <w:rPr>
          <w:b/>
          <w:bCs/>
          <w:lang w:eastAsia="x-none"/>
        </w:rPr>
        <w:t xml:space="preserve"> or multi-PUSCH</w:t>
      </w:r>
      <w:r w:rsidRPr="00A34DED">
        <w:rPr>
          <w:b/>
          <w:bCs/>
          <w:lang w:eastAsia="x-none"/>
        </w:rPr>
        <w:t xml:space="preserve"> scheduling with the same DCI should be appli</w:t>
      </w:r>
      <w:r>
        <w:rPr>
          <w:b/>
          <w:bCs/>
          <w:lang w:eastAsia="x-none"/>
        </w:rPr>
        <w:t>cable to</w:t>
      </w:r>
      <w:r w:rsidRPr="00A34DED">
        <w:rPr>
          <w:b/>
          <w:bCs/>
          <w:lang w:eastAsia="x-none"/>
        </w:rPr>
        <w:t xml:space="preserve"> 120</w:t>
      </w:r>
      <w:r>
        <w:rPr>
          <w:b/>
          <w:bCs/>
          <w:lang w:eastAsia="x-none"/>
        </w:rPr>
        <w:t>kHz</w:t>
      </w:r>
      <w:r w:rsidRPr="00A34DED">
        <w:rPr>
          <w:b/>
          <w:bCs/>
          <w:lang w:eastAsia="x-none"/>
        </w:rPr>
        <w:t xml:space="preserve"> as well as 480 and 960</w:t>
      </w:r>
      <w:r>
        <w:rPr>
          <w:b/>
          <w:bCs/>
          <w:lang w:eastAsia="x-none"/>
        </w:rPr>
        <w:t xml:space="preserve">kHz, though we don’t need to introduce multi-slot monitoring capability for 120KHz. </w:t>
      </w:r>
    </w:p>
    <w:p w14:paraId="5A58616A" w14:textId="77777777" w:rsidR="0026206A" w:rsidRDefault="0026206A" w:rsidP="00B310B8">
      <w:pPr>
        <w:overflowPunct/>
        <w:autoSpaceDE/>
        <w:autoSpaceDN/>
        <w:adjustRightInd/>
        <w:spacing w:after="0"/>
        <w:jc w:val="left"/>
        <w:textAlignment w:val="auto"/>
        <w:rPr>
          <w:b/>
          <w:bCs/>
          <w:lang w:eastAsia="x-none"/>
        </w:rPr>
      </w:pPr>
    </w:p>
    <w:p w14:paraId="0B9E02CB" w14:textId="77777777" w:rsidR="0026206A" w:rsidRDefault="0026206A" w:rsidP="00B310B8">
      <w:pPr>
        <w:overflowPunct/>
        <w:autoSpaceDE/>
        <w:autoSpaceDN/>
        <w:adjustRightInd/>
        <w:spacing w:after="0"/>
        <w:jc w:val="left"/>
        <w:textAlignment w:val="auto"/>
        <w:rPr>
          <w:b/>
          <w:bCs/>
          <w:lang w:eastAsia="x-none"/>
        </w:rPr>
      </w:pPr>
      <w:r>
        <w:rPr>
          <w:b/>
          <w:bCs/>
          <w:lang w:eastAsia="x-none"/>
        </w:rPr>
        <w:t xml:space="preserve">Proposal </w:t>
      </w:r>
      <w:r>
        <w:rPr>
          <w:b/>
          <w:bCs/>
          <w:noProof/>
          <w:lang w:eastAsia="x-none"/>
        </w:rPr>
        <w:t>2</w:t>
      </w:r>
      <w:r>
        <w:rPr>
          <w:b/>
          <w:bCs/>
          <w:lang w:eastAsia="x-none"/>
        </w:rPr>
        <w:t>: A UE capability to be defined per SCS, to indicate the maximum number of supported PDSCHs/PUSCHs per single DCI for SCS 120kHz and 480kHz.</w:t>
      </w:r>
    </w:p>
    <w:p w14:paraId="18C1D1B4" w14:textId="51A561D0" w:rsidR="0026206A" w:rsidRDefault="0026206A" w:rsidP="007B4443">
      <w:pPr>
        <w:rPr>
          <w:b/>
          <w:bCs/>
          <w:lang w:eastAsia="x-none"/>
        </w:rPr>
      </w:pPr>
      <w:r>
        <w:fldChar w:fldCharType="end"/>
      </w:r>
      <w:r>
        <w:fldChar w:fldCharType="begin"/>
      </w:r>
      <w:r>
        <w:instrText xml:space="preserve"> REF p3 \h </w:instrText>
      </w:r>
      <w:r>
        <w:fldChar w:fldCharType="separate"/>
      </w:r>
      <w:r>
        <w:rPr>
          <w:b/>
          <w:bCs/>
          <w:lang w:eastAsia="x-none"/>
        </w:rPr>
        <w:t xml:space="preserve">Proposal </w:t>
      </w:r>
      <w:r>
        <w:rPr>
          <w:b/>
          <w:bCs/>
          <w:noProof/>
          <w:lang w:eastAsia="x-none"/>
        </w:rPr>
        <w:t>3</w:t>
      </w:r>
      <w:r>
        <w:rPr>
          <w:b/>
          <w:bCs/>
          <w:lang w:eastAsia="x-none"/>
        </w:rPr>
        <w:t>: In the case of increasing the HARQ processes to 32 for SCSs 480kHz and 960kHz, a</w:t>
      </w:r>
      <w:r w:rsidRPr="007B4443">
        <w:rPr>
          <w:b/>
          <w:bCs/>
          <w:lang w:eastAsia="x-none"/>
        </w:rPr>
        <w:t xml:space="preserve"> UE capability </w:t>
      </w:r>
      <w:r>
        <w:rPr>
          <w:b/>
          <w:bCs/>
          <w:lang w:eastAsia="x-none"/>
        </w:rPr>
        <w:t>should be</w:t>
      </w:r>
      <w:r w:rsidRPr="007B4443">
        <w:rPr>
          <w:b/>
          <w:bCs/>
          <w:lang w:eastAsia="x-none"/>
        </w:rPr>
        <w:t xml:space="preserve"> defined such that X HARQ process</w:t>
      </w:r>
      <w:r>
        <w:rPr>
          <w:b/>
          <w:bCs/>
          <w:lang w:eastAsia="x-none"/>
        </w:rPr>
        <w:t>es can be</w:t>
      </w:r>
      <w:r w:rsidRPr="007B4443">
        <w:rPr>
          <w:b/>
          <w:bCs/>
          <w:lang w:eastAsia="x-none"/>
        </w:rPr>
        <w:t xml:space="preserve"> supported, and Y of them can do soft combining</w:t>
      </w:r>
      <w:r>
        <w:rPr>
          <w:b/>
          <w:bCs/>
          <w:lang w:eastAsia="x-none"/>
        </w:rPr>
        <w:t xml:space="preserve"> where X and Y ≥ 16. </w:t>
      </w:r>
    </w:p>
    <w:p w14:paraId="5D0F2F26" w14:textId="0A5963A6" w:rsidR="0026206A" w:rsidRDefault="0026206A" w:rsidP="0043452B">
      <w:pPr>
        <w:overflowPunct/>
        <w:autoSpaceDE/>
        <w:autoSpaceDN/>
        <w:adjustRightInd/>
        <w:spacing w:after="0"/>
        <w:jc w:val="left"/>
        <w:textAlignment w:val="auto"/>
        <w:rPr>
          <w:b/>
          <w:bCs/>
          <w:lang w:eastAsia="x-none"/>
        </w:rPr>
      </w:pPr>
      <w:r>
        <w:fldChar w:fldCharType="end"/>
      </w:r>
      <w:r>
        <w:fldChar w:fldCharType="begin"/>
      </w:r>
      <w:r>
        <w:instrText xml:space="preserve"> REF p4 \h </w:instrText>
      </w:r>
      <w:r>
        <w:fldChar w:fldCharType="separate"/>
      </w:r>
      <w:r w:rsidRPr="00A34DED">
        <w:rPr>
          <w:b/>
          <w:bCs/>
          <w:lang w:eastAsia="x-none"/>
        </w:rPr>
        <w:t>Proposal</w:t>
      </w:r>
      <w:r>
        <w:rPr>
          <w:b/>
          <w:bCs/>
          <w:lang w:eastAsia="x-none"/>
        </w:rPr>
        <w:t xml:space="preserve"> </w:t>
      </w:r>
      <w:r>
        <w:rPr>
          <w:b/>
          <w:bCs/>
          <w:noProof/>
          <w:lang w:eastAsia="x-none"/>
        </w:rPr>
        <w:t>4</w:t>
      </w:r>
      <w:r w:rsidRPr="00A34DED">
        <w:rPr>
          <w:b/>
          <w:bCs/>
          <w:lang w:eastAsia="x-none"/>
        </w:rPr>
        <w:t>: All HARQ-ACK information corresponding to different PDSCHs scheduled by the same DCI to be carried by the same PUCCH.</w:t>
      </w:r>
    </w:p>
    <w:p w14:paraId="72ED056C" w14:textId="72B0D660" w:rsidR="0026206A" w:rsidRPr="00B63A41" w:rsidRDefault="0026206A" w:rsidP="00DB6C80">
      <w:pPr>
        <w:overflowPunct/>
        <w:autoSpaceDE/>
        <w:autoSpaceDN/>
        <w:adjustRightInd/>
        <w:spacing w:after="0"/>
        <w:jc w:val="left"/>
        <w:textAlignment w:val="auto"/>
        <w:rPr>
          <w:b/>
          <w:bCs/>
          <w:lang w:eastAsia="x-none"/>
        </w:rPr>
      </w:pPr>
      <w:r>
        <w:fldChar w:fldCharType="end"/>
      </w:r>
      <w:r>
        <w:fldChar w:fldCharType="begin"/>
      </w:r>
      <w:r>
        <w:instrText xml:space="preserve"> REF p5_6 \h </w:instrText>
      </w:r>
      <w:r>
        <w:fldChar w:fldCharType="separate"/>
      </w:r>
      <w:r w:rsidRPr="00B63A41">
        <w:rPr>
          <w:b/>
          <w:bCs/>
          <w:lang w:eastAsia="x-none"/>
        </w:rPr>
        <w:t>Proposal</w:t>
      </w:r>
      <w:r>
        <w:rPr>
          <w:b/>
          <w:bCs/>
          <w:lang w:eastAsia="x-none"/>
        </w:rPr>
        <w:t xml:space="preserve"> </w:t>
      </w:r>
      <w:r>
        <w:rPr>
          <w:b/>
          <w:bCs/>
          <w:noProof/>
          <w:lang w:eastAsia="x-none"/>
        </w:rPr>
        <w:t>5</w:t>
      </w:r>
      <w:r w:rsidRPr="00B63A41">
        <w:rPr>
          <w:b/>
          <w:bCs/>
          <w:lang w:eastAsia="x-none"/>
        </w:rPr>
        <w:t xml:space="preserve">: Support Option </w:t>
      </w:r>
      <w:r>
        <w:rPr>
          <w:b/>
          <w:bCs/>
          <w:lang w:eastAsia="x-none"/>
        </w:rPr>
        <w:t>1</w:t>
      </w:r>
      <w:r w:rsidRPr="00B63A41">
        <w:rPr>
          <w:b/>
          <w:bCs/>
          <w:lang w:eastAsia="x-none"/>
        </w:rPr>
        <w:t xml:space="preserve">, i.e., the set of the candidate PDSCH reception occasions can be determined based on </w:t>
      </w:r>
      <w:r>
        <w:rPr>
          <w:b/>
          <w:bCs/>
          <w:lang w:eastAsia="x-none"/>
        </w:rPr>
        <w:t>each</w:t>
      </w:r>
      <w:r w:rsidRPr="00B63A41">
        <w:rPr>
          <w:b/>
          <w:bCs/>
          <w:lang w:eastAsia="x-none"/>
        </w:rPr>
        <w:t xml:space="preserve"> SLIV of each row in the TDRA table</w:t>
      </w:r>
      <w:r>
        <w:rPr>
          <w:b/>
          <w:bCs/>
          <w:lang w:eastAsia="x-none"/>
        </w:rPr>
        <w:t xml:space="preserve">, extension of K1 can be discussed separately to avoid confusion.  </w:t>
      </w:r>
    </w:p>
    <w:p w14:paraId="09F5F07B" w14:textId="77777777" w:rsidR="0026206A" w:rsidRDefault="0026206A" w:rsidP="00DB6C80">
      <w:pPr>
        <w:overflowPunct/>
        <w:autoSpaceDE/>
        <w:autoSpaceDN/>
        <w:adjustRightInd/>
        <w:spacing w:after="0"/>
        <w:jc w:val="left"/>
        <w:textAlignment w:val="auto"/>
        <w:rPr>
          <w:lang w:eastAsia="x-none"/>
        </w:rPr>
      </w:pPr>
    </w:p>
    <w:p w14:paraId="3B17560E" w14:textId="77777777" w:rsidR="0026206A" w:rsidRPr="00B63A41" w:rsidRDefault="0026206A" w:rsidP="005F6A9F">
      <w:pPr>
        <w:overflowPunct/>
        <w:autoSpaceDE/>
        <w:autoSpaceDN/>
        <w:adjustRightInd/>
        <w:spacing w:after="0"/>
        <w:jc w:val="left"/>
        <w:textAlignment w:val="auto"/>
        <w:rPr>
          <w:b/>
          <w:bCs/>
          <w:lang w:eastAsia="x-none"/>
        </w:rPr>
      </w:pPr>
      <w:r w:rsidRPr="00B63A41">
        <w:rPr>
          <w:b/>
          <w:bCs/>
          <w:lang w:eastAsia="x-none"/>
        </w:rPr>
        <w:t>Proposal</w:t>
      </w:r>
      <w:r>
        <w:rPr>
          <w:b/>
          <w:bCs/>
          <w:lang w:eastAsia="x-none"/>
        </w:rPr>
        <w:t xml:space="preserve"> </w:t>
      </w:r>
      <w:r>
        <w:rPr>
          <w:b/>
          <w:bCs/>
          <w:noProof/>
          <w:lang w:eastAsia="x-none"/>
        </w:rPr>
        <w:t>6</w:t>
      </w:r>
      <w:r w:rsidRPr="00B63A41">
        <w:rPr>
          <w:b/>
          <w:bCs/>
          <w:lang w:eastAsia="x-none"/>
        </w:rPr>
        <w:t xml:space="preserve">: </w:t>
      </w:r>
      <w:r>
        <w:rPr>
          <w:b/>
          <w:bCs/>
          <w:lang w:eastAsia="x-none"/>
        </w:rPr>
        <w:t xml:space="preserve">Revisit K1 values for SCS 480kHz and 960kHz after the discussions on the PDSCH processing timeline. </w:t>
      </w:r>
    </w:p>
    <w:p w14:paraId="5D01193B" w14:textId="2628C1C2" w:rsidR="0026206A" w:rsidRPr="001E7080" w:rsidRDefault="0026206A" w:rsidP="00B16ACA">
      <w:pPr>
        <w:overflowPunct/>
        <w:autoSpaceDE/>
        <w:autoSpaceDN/>
        <w:adjustRightInd/>
        <w:spacing w:after="0"/>
        <w:jc w:val="left"/>
        <w:textAlignment w:val="auto"/>
        <w:rPr>
          <w:b/>
          <w:bCs/>
          <w:lang w:eastAsia="x-none"/>
        </w:rPr>
      </w:pPr>
      <w:r>
        <w:fldChar w:fldCharType="end"/>
      </w:r>
      <w:r>
        <w:fldChar w:fldCharType="begin"/>
      </w:r>
      <w:r>
        <w:instrText xml:space="preserve"> REF p7 \h </w:instrText>
      </w:r>
      <w:r>
        <w:fldChar w:fldCharType="separate"/>
      </w:r>
      <w:r w:rsidRPr="001E7080">
        <w:rPr>
          <w:b/>
          <w:bCs/>
          <w:lang w:eastAsia="x-none"/>
        </w:rPr>
        <w:t>Proposal</w:t>
      </w:r>
      <w:r>
        <w:rPr>
          <w:b/>
          <w:bCs/>
          <w:lang w:eastAsia="x-none"/>
        </w:rPr>
        <w:t xml:space="preserve"> </w:t>
      </w:r>
      <w:r>
        <w:rPr>
          <w:b/>
          <w:bCs/>
          <w:noProof/>
          <w:lang w:eastAsia="x-none"/>
        </w:rPr>
        <w:t>7</w:t>
      </w:r>
      <w:r w:rsidRPr="001E7080">
        <w:rPr>
          <w:b/>
          <w:bCs/>
          <w:lang w:eastAsia="x-none"/>
        </w:rPr>
        <w:t xml:space="preserve">: </w:t>
      </w:r>
      <w:r>
        <w:rPr>
          <w:b/>
          <w:bCs/>
          <w:lang w:eastAsia="x-none"/>
        </w:rPr>
        <w:t>When some PDSCHs/PUSCHs are skipped due to</w:t>
      </w:r>
      <w:r w:rsidRPr="001E7080">
        <w:rPr>
          <w:b/>
          <w:bCs/>
          <w:lang w:eastAsia="x-none"/>
        </w:rPr>
        <w:t xml:space="preserve"> conflict between multi-PDSCH</w:t>
      </w:r>
      <w:r>
        <w:rPr>
          <w:b/>
          <w:bCs/>
          <w:lang w:eastAsia="x-none"/>
        </w:rPr>
        <w:t>/PUSCH</w:t>
      </w:r>
      <w:r w:rsidRPr="001E7080">
        <w:rPr>
          <w:b/>
          <w:bCs/>
          <w:lang w:eastAsia="x-none"/>
        </w:rPr>
        <w:t xml:space="preserve"> grant and UL</w:t>
      </w:r>
      <w:r>
        <w:rPr>
          <w:b/>
          <w:bCs/>
          <w:lang w:eastAsia="x-none"/>
        </w:rPr>
        <w:t>/DL</w:t>
      </w:r>
      <w:r w:rsidRPr="001E7080">
        <w:rPr>
          <w:b/>
          <w:bCs/>
          <w:lang w:eastAsia="x-none"/>
        </w:rPr>
        <w:t xml:space="preserve"> TDD configurations,</w:t>
      </w:r>
      <w:r>
        <w:rPr>
          <w:b/>
          <w:bCs/>
          <w:lang w:eastAsia="x-none"/>
        </w:rPr>
        <w:t xml:space="preserve"> the</w:t>
      </w:r>
      <w:r w:rsidRPr="001E7080">
        <w:rPr>
          <w:b/>
          <w:bCs/>
          <w:lang w:eastAsia="x-none"/>
        </w:rPr>
        <w:t xml:space="preserve"> </w:t>
      </w:r>
      <w:r>
        <w:rPr>
          <w:b/>
          <w:bCs/>
          <w:lang w:eastAsia="x-none"/>
        </w:rPr>
        <w:t xml:space="preserve">HARQ increment process will be applied over all PDSCHs/PUSCHs carried by the same DCI, then the </w:t>
      </w:r>
      <w:r w:rsidRPr="001E7080">
        <w:rPr>
          <w:b/>
          <w:bCs/>
          <w:lang w:eastAsia="x-none"/>
        </w:rPr>
        <w:t xml:space="preserve">corresponding HARQ IDs </w:t>
      </w:r>
      <w:r>
        <w:rPr>
          <w:b/>
          <w:bCs/>
          <w:lang w:eastAsia="x-none"/>
        </w:rPr>
        <w:t xml:space="preserve">corresponding to the skipped PDCSHs/PUSCHs </w:t>
      </w:r>
      <w:r w:rsidRPr="001E7080">
        <w:rPr>
          <w:b/>
          <w:bCs/>
          <w:lang w:eastAsia="x-none"/>
        </w:rPr>
        <w:t xml:space="preserve">should be cancelled and ignored when constructing the type-1 codebook. </w:t>
      </w:r>
      <w:r>
        <w:rPr>
          <w:b/>
          <w:bCs/>
          <w:lang w:eastAsia="x-none"/>
        </w:rPr>
        <w:t xml:space="preserve"> </w:t>
      </w:r>
    </w:p>
    <w:p w14:paraId="6BF5888E" w14:textId="0943F3DE" w:rsidR="0026206A" w:rsidRDefault="0026206A" w:rsidP="008346B8">
      <w:pPr>
        <w:spacing w:after="160" w:line="256" w:lineRule="auto"/>
        <w:contextualSpacing/>
        <w:rPr>
          <w:rFonts w:eastAsia="Malgun Gothic"/>
          <w:b/>
          <w:bCs/>
        </w:rPr>
      </w:pPr>
      <w:r>
        <w:fldChar w:fldCharType="end"/>
      </w:r>
      <w:r>
        <w:fldChar w:fldCharType="begin"/>
      </w:r>
      <w:r>
        <w:instrText xml:space="preserve"> REF p8 \h </w:instrText>
      </w:r>
      <w:r>
        <w:fldChar w:fldCharType="separate"/>
      </w:r>
      <w:r w:rsidRPr="00A34DED">
        <w:rPr>
          <w:rFonts w:eastAsia="Malgun Gothic"/>
          <w:b/>
          <w:bCs/>
        </w:rPr>
        <w:t>Proposal</w:t>
      </w:r>
      <w:r>
        <w:rPr>
          <w:rFonts w:eastAsia="Malgun Gothic"/>
          <w:b/>
          <w:bCs/>
        </w:rPr>
        <w:t xml:space="preserve"> </w:t>
      </w:r>
      <w:r>
        <w:rPr>
          <w:b/>
          <w:bCs/>
          <w:noProof/>
          <w:lang w:eastAsia="x-none"/>
        </w:rPr>
        <w:t>8</w:t>
      </w:r>
      <w:r w:rsidRPr="00A34DED">
        <w:rPr>
          <w:rFonts w:eastAsia="Malgun Gothic"/>
          <w:b/>
          <w:bCs/>
        </w:rPr>
        <w:t xml:space="preserve">: </w:t>
      </w:r>
    </w:p>
    <w:p w14:paraId="45849F4E" w14:textId="77777777" w:rsidR="0026206A" w:rsidRPr="00CB1841" w:rsidRDefault="0026206A" w:rsidP="00CB1841">
      <w:pPr>
        <w:pStyle w:val="ListParagraph"/>
        <w:numPr>
          <w:ilvl w:val="0"/>
          <w:numId w:val="28"/>
        </w:numPr>
        <w:spacing w:after="160" w:line="256" w:lineRule="auto"/>
        <w:contextualSpacing/>
        <w:rPr>
          <w:rFonts w:eastAsia="Malgun Gothic"/>
          <w:b/>
          <w:bCs/>
        </w:rPr>
      </w:pPr>
      <w:r w:rsidRPr="00CB1841">
        <w:rPr>
          <w:rFonts w:eastAsia="Malgun Gothic"/>
          <w:b/>
          <w:bCs/>
        </w:rPr>
        <w:t xml:space="preserve">Regarding the DAI counting, we support Alt 2, i.e., </w:t>
      </w:r>
      <w:r w:rsidRPr="00CB1841">
        <w:rPr>
          <w:b/>
          <w:bCs/>
          <w:iCs/>
          <w:snapToGrid w:val="0"/>
        </w:rPr>
        <w:t xml:space="preserve">C-DAI/T-DAI is counted per PDSCH </w:t>
      </w:r>
    </w:p>
    <w:p w14:paraId="0BE04696" w14:textId="77777777" w:rsidR="0026206A" w:rsidRPr="00294EBE" w:rsidRDefault="0026206A" w:rsidP="00CB1841">
      <w:pPr>
        <w:pStyle w:val="ListParagraph"/>
        <w:numPr>
          <w:ilvl w:val="0"/>
          <w:numId w:val="28"/>
        </w:numPr>
        <w:spacing w:after="160" w:line="256" w:lineRule="auto"/>
        <w:contextualSpacing/>
        <w:rPr>
          <w:rFonts w:eastAsia="Malgun Gothic"/>
          <w:b/>
          <w:bCs/>
        </w:rPr>
      </w:pPr>
      <w:r>
        <w:rPr>
          <w:b/>
          <w:bCs/>
          <w:iCs/>
          <w:snapToGrid w:val="0"/>
        </w:rPr>
        <w:t>S</w:t>
      </w:r>
      <w:r w:rsidRPr="00CB1841">
        <w:rPr>
          <w:b/>
          <w:bCs/>
          <w:iCs/>
          <w:snapToGrid w:val="0"/>
        </w:rPr>
        <w:t>upport increasing the field size of the DAI</w:t>
      </w:r>
      <w:r>
        <w:rPr>
          <w:b/>
          <w:bCs/>
          <w:iCs/>
          <w:snapToGrid w:val="0"/>
        </w:rPr>
        <w:t xml:space="preserve"> based on RRC configuration to increase the reliability against the </w:t>
      </w:r>
      <w:r w:rsidRPr="00355263">
        <w:rPr>
          <w:b/>
          <w:bCs/>
          <w:iCs/>
          <w:snapToGrid w:val="0"/>
        </w:rPr>
        <w:t>missed DCIs. However, the field size increase should be subject to gNB configuration.</w:t>
      </w:r>
    </w:p>
    <w:p w14:paraId="36009467" w14:textId="77777777" w:rsidR="0026206A" w:rsidRPr="00CB1841" w:rsidRDefault="0026206A" w:rsidP="00CB1841">
      <w:pPr>
        <w:pStyle w:val="ListParagraph"/>
        <w:numPr>
          <w:ilvl w:val="0"/>
          <w:numId w:val="28"/>
        </w:numPr>
        <w:spacing w:after="160" w:line="256" w:lineRule="auto"/>
        <w:contextualSpacing/>
        <w:rPr>
          <w:rFonts w:eastAsia="Malgun Gothic"/>
          <w:b/>
          <w:bCs/>
        </w:rPr>
      </w:pPr>
      <w:r>
        <w:rPr>
          <w:b/>
          <w:bCs/>
          <w:iCs/>
          <w:snapToGrid w:val="0"/>
        </w:rPr>
        <w:t>Allow adjusting the resolution of the DAI counter based on the greatest common divisor of the number of the SLIVs, among the rows of the TDRA, i.e., each increment of the DAI indicates that a number of PDSCHs equal to  the greatest common divisor has been sent.</w:t>
      </w:r>
    </w:p>
    <w:p w14:paraId="4F49F7D4" w14:textId="77777777" w:rsidR="0026206A" w:rsidRPr="00103FE3" w:rsidRDefault="0026206A" w:rsidP="00CB1841">
      <w:pPr>
        <w:pStyle w:val="ListParagraph"/>
        <w:numPr>
          <w:ilvl w:val="0"/>
          <w:numId w:val="28"/>
        </w:numPr>
        <w:spacing w:after="160" w:line="256" w:lineRule="auto"/>
        <w:contextualSpacing/>
        <w:rPr>
          <w:rFonts w:eastAsia="Malgun Gothic"/>
          <w:b/>
          <w:bCs/>
        </w:rPr>
      </w:pPr>
      <w:r>
        <w:rPr>
          <w:b/>
          <w:bCs/>
          <w:iCs/>
          <w:snapToGrid w:val="0"/>
        </w:rPr>
        <w:t>Introduce new rule on how to place the virtual DCIs:</w:t>
      </w:r>
      <w:r>
        <w:rPr>
          <w:b/>
          <w:bCs/>
          <w:iCs/>
          <w:snapToGrid w:val="0"/>
        </w:rPr>
        <w:tab/>
      </w:r>
    </w:p>
    <w:p w14:paraId="63B553A2" w14:textId="77777777" w:rsidR="0026206A" w:rsidRPr="00131FAA" w:rsidRDefault="0026206A" w:rsidP="00103FE3">
      <w:pPr>
        <w:pStyle w:val="ListParagraph"/>
        <w:numPr>
          <w:ilvl w:val="1"/>
          <w:numId w:val="28"/>
        </w:numPr>
        <w:spacing w:after="160" w:line="256" w:lineRule="auto"/>
        <w:contextualSpacing/>
        <w:rPr>
          <w:rFonts w:eastAsia="Malgun Gothic"/>
          <w:b/>
          <w:bCs/>
        </w:rPr>
      </w:pPr>
      <w:r>
        <w:rPr>
          <w:b/>
          <w:bCs/>
          <w:iCs/>
          <w:snapToGrid w:val="0"/>
        </w:rPr>
        <w:t>Option 1: According to a defined symbol level offset for each additional PDSCH</w:t>
      </w:r>
    </w:p>
    <w:p w14:paraId="3E5662F7" w14:textId="77777777" w:rsidR="0026206A" w:rsidRPr="00C3141C" w:rsidRDefault="0026206A" w:rsidP="006A1FCB">
      <w:pPr>
        <w:pStyle w:val="ListParagraph"/>
        <w:numPr>
          <w:ilvl w:val="1"/>
          <w:numId w:val="28"/>
        </w:numPr>
        <w:spacing w:line="256" w:lineRule="auto"/>
        <w:contextualSpacing/>
        <w:jc w:val="left"/>
        <w:rPr>
          <w:rFonts w:eastAsia="Malgun Gothic"/>
        </w:rPr>
      </w:pPr>
      <w:r w:rsidRPr="00131FAA">
        <w:rPr>
          <w:b/>
          <w:bCs/>
          <w:iCs/>
          <w:snapToGrid w:val="0"/>
        </w:rPr>
        <w:t xml:space="preserve">Option 2: At the start symbol of each PDSCH allocation </w:t>
      </w:r>
    </w:p>
    <w:p w14:paraId="131F73E7" w14:textId="77777777" w:rsidR="0026206A" w:rsidRPr="00131FAA" w:rsidRDefault="0026206A" w:rsidP="00C3141C">
      <w:pPr>
        <w:pStyle w:val="ListParagraph"/>
        <w:numPr>
          <w:ilvl w:val="0"/>
          <w:numId w:val="28"/>
        </w:numPr>
        <w:spacing w:line="256" w:lineRule="auto"/>
        <w:contextualSpacing/>
        <w:jc w:val="left"/>
        <w:rPr>
          <w:rFonts w:eastAsia="Malgun Gothic"/>
        </w:rPr>
      </w:pPr>
      <w:r>
        <w:rPr>
          <w:b/>
          <w:bCs/>
          <w:iCs/>
          <w:snapToGrid w:val="0"/>
        </w:rPr>
        <w:t>DAI counting follows the legacy approach after introducing the virtual DCIs.</w:t>
      </w:r>
    </w:p>
    <w:p w14:paraId="3BCAF5B2" w14:textId="2BA89245" w:rsidR="0026206A" w:rsidRDefault="0026206A" w:rsidP="003759BD">
      <w:pPr>
        <w:overflowPunct/>
        <w:autoSpaceDE/>
        <w:autoSpaceDN/>
        <w:adjustRightInd/>
        <w:spacing w:after="0"/>
        <w:jc w:val="left"/>
        <w:textAlignment w:val="auto"/>
        <w:rPr>
          <w:b/>
          <w:bCs/>
        </w:rPr>
      </w:pPr>
      <w:r>
        <w:fldChar w:fldCharType="end"/>
      </w:r>
      <w:r>
        <w:fldChar w:fldCharType="begin"/>
      </w:r>
      <w:r>
        <w:instrText xml:space="preserve"> REF p9 \h </w:instrText>
      </w:r>
      <w:r>
        <w:fldChar w:fldCharType="separate"/>
      </w:r>
      <w:r w:rsidRPr="00A34DED">
        <w:rPr>
          <w:b/>
          <w:bCs/>
        </w:rPr>
        <w:t>Proposal</w:t>
      </w:r>
      <w:r>
        <w:rPr>
          <w:b/>
          <w:bCs/>
        </w:rPr>
        <w:t xml:space="preserve"> </w:t>
      </w:r>
      <w:r>
        <w:rPr>
          <w:b/>
          <w:bCs/>
          <w:noProof/>
          <w:lang w:eastAsia="x-none"/>
        </w:rPr>
        <w:t>9</w:t>
      </w:r>
      <w:r w:rsidRPr="00A34DED">
        <w:rPr>
          <w:b/>
          <w:bCs/>
        </w:rPr>
        <w:t>: For multi-P</w:t>
      </w:r>
      <w:r>
        <w:rPr>
          <w:b/>
          <w:bCs/>
        </w:rPr>
        <w:t>D</w:t>
      </w:r>
      <w:r w:rsidRPr="00A34DED">
        <w:rPr>
          <w:b/>
          <w:bCs/>
        </w:rPr>
        <w:t>SCH</w:t>
      </w:r>
      <w:r>
        <w:rPr>
          <w:b/>
          <w:bCs/>
        </w:rPr>
        <w:t>/PUSCH</w:t>
      </w:r>
      <w:r w:rsidRPr="00A34DED">
        <w:rPr>
          <w:b/>
          <w:bCs/>
        </w:rPr>
        <w:t xml:space="preserve"> DCI fields enhancements:</w:t>
      </w:r>
    </w:p>
    <w:p w14:paraId="74408421" w14:textId="77777777" w:rsidR="0026206A" w:rsidRDefault="0026206A" w:rsidP="003759BD">
      <w:pPr>
        <w:pStyle w:val="ListParagraph"/>
        <w:numPr>
          <w:ilvl w:val="0"/>
          <w:numId w:val="32"/>
        </w:numPr>
        <w:jc w:val="left"/>
        <w:rPr>
          <w:b/>
          <w:bCs/>
        </w:rPr>
      </w:pPr>
      <w:r>
        <w:rPr>
          <w:b/>
          <w:bCs/>
        </w:rPr>
        <w:t xml:space="preserve">Second TB can be supported for each PDSCH </w:t>
      </w:r>
    </w:p>
    <w:p w14:paraId="6A19D75A" w14:textId="77777777" w:rsidR="0026206A" w:rsidRPr="006B3418" w:rsidRDefault="0026206A" w:rsidP="00DF4767">
      <w:pPr>
        <w:pStyle w:val="ListParagraph"/>
        <w:numPr>
          <w:ilvl w:val="0"/>
          <w:numId w:val="33"/>
        </w:numPr>
        <w:spacing w:after="160" w:line="256" w:lineRule="auto"/>
        <w:contextualSpacing/>
        <w:rPr>
          <w:rFonts w:eastAsia="Malgun Gothic"/>
          <w:b/>
          <w:bCs/>
        </w:rPr>
      </w:pPr>
      <w:r w:rsidRPr="006B3418">
        <w:rPr>
          <w:rFonts w:eastAsia="Malgun Gothic"/>
          <w:b/>
          <w:bCs/>
          <w:lang w:eastAsia="ko-KR"/>
        </w:rPr>
        <w:t>MCS for the 2</w:t>
      </w:r>
      <w:r w:rsidRPr="006B3418">
        <w:rPr>
          <w:rFonts w:eastAsia="Malgun Gothic"/>
          <w:b/>
          <w:bCs/>
          <w:vertAlign w:val="superscript"/>
          <w:lang w:eastAsia="ko-KR"/>
        </w:rPr>
        <w:t>nd</w:t>
      </w:r>
      <w:r w:rsidRPr="006B3418">
        <w:rPr>
          <w:rFonts w:eastAsia="Malgun Gothic"/>
          <w:b/>
          <w:bCs/>
          <w:lang w:eastAsia="ko-KR"/>
        </w:rPr>
        <w:t xml:space="preserve"> TB: This appears only once in the DCI and applies commonly to the second TB of each PDSCH</w:t>
      </w:r>
    </w:p>
    <w:p w14:paraId="7C679127" w14:textId="77777777" w:rsidR="0026206A" w:rsidRPr="006B3418" w:rsidRDefault="0026206A" w:rsidP="00DF4767">
      <w:pPr>
        <w:pStyle w:val="ListParagraph"/>
        <w:numPr>
          <w:ilvl w:val="0"/>
          <w:numId w:val="33"/>
        </w:numPr>
        <w:spacing w:after="160" w:line="256" w:lineRule="auto"/>
        <w:contextualSpacing/>
        <w:rPr>
          <w:rFonts w:eastAsia="Malgun Gothic"/>
          <w:b/>
          <w:bCs/>
        </w:rPr>
      </w:pPr>
      <w:r w:rsidRPr="006B3418">
        <w:rPr>
          <w:rFonts w:eastAsia="Malgun Gothic"/>
          <w:b/>
          <w:bCs/>
          <w:lang w:eastAsia="ko-KR"/>
        </w:rPr>
        <w:t>NDI for the 2</w:t>
      </w:r>
      <w:r w:rsidRPr="006B3418">
        <w:rPr>
          <w:rFonts w:eastAsia="Malgun Gothic"/>
          <w:b/>
          <w:bCs/>
          <w:vertAlign w:val="superscript"/>
          <w:lang w:eastAsia="ko-KR"/>
        </w:rPr>
        <w:t>nd</w:t>
      </w:r>
      <w:r w:rsidRPr="006B3418">
        <w:rPr>
          <w:rFonts w:eastAsia="Malgun Gothic"/>
          <w:b/>
          <w:bCs/>
          <w:lang w:eastAsia="ko-KR"/>
        </w:rPr>
        <w:t xml:space="preserve"> TB: This is signaled per PDSCH and applies to the second TB of each PDSCH</w:t>
      </w:r>
    </w:p>
    <w:p w14:paraId="2C386FDE" w14:textId="77777777" w:rsidR="0026206A" w:rsidRPr="006B3418" w:rsidRDefault="0026206A" w:rsidP="00DF4767">
      <w:pPr>
        <w:pStyle w:val="ListParagraph"/>
        <w:numPr>
          <w:ilvl w:val="0"/>
          <w:numId w:val="33"/>
        </w:numPr>
        <w:spacing w:after="160" w:line="256" w:lineRule="auto"/>
        <w:contextualSpacing/>
        <w:rPr>
          <w:rFonts w:eastAsia="Malgun Gothic"/>
          <w:b/>
          <w:bCs/>
        </w:rPr>
      </w:pPr>
      <w:r w:rsidRPr="006B3418">
        <w:rPr>
          <w:rFonts w:eastAsia="Malgun Gothic"/>
          <w:b/>
          <w:bCs/>
          <w:lang w:eastAsia="ko-KR"/>
        </w:rPr>
        <w:t>RV for the 2</w:t>
      </w:r>
      <w:r w:rsidRPr="006B3418">
        <w:rPr>
          <w:rFonts w:eastAsia="Malgun Gothic"/>
          <w:b/>
          <w:bCs/>
          <w:vertAlign w:val="superscript"/>
          <w:lang w:eastAsia="ko-KR"/>
        </w:rPr>
        <w:t>nd</w:t>
      </w:r>
      <w:r w:rsidRPr="006B3418">
        <w:rPr>
          <w:rFonts w:eastAsia="Malgun Gothic"/>
          <w:b/>
          <w:bCs/>
          <w:lang w:eastAsia="ko-KR"/>
        </w:rPr>
        <w:t xml:space="preserve"> TB: This is signaled per PDSCH, with 2 bits if only a single PDSCH is scheduled or 1 bit for each PDSCH otherwise and applies to the second TB of each PDSCH</w:t>
      </w:r>
    </w:p>
    <w:p w14:paraId="0C28644E" w14:textId="77777777" w:rsidR="0026206A" w:rsidRPr="00A34DED" w:rsidRDefault="0026206A" w:rsidP="00C94A1E">
      <w:pPr>
        <w:pStyle w:val="ListParagraph"/>
        <w:numPr>
          <w:ilvl w:val="0"/>
          <w:numId w:val="18"/>
        </w:numPr>
        <w:rPr>
          <w:b/>
          <w:bCs/>
        </w:rPr>
      </w:pPr>
      <w:r w:rsidRPr="00A34DED">
        <w:rPr>
          <w:b/>
          <w:bCs/>
          <w:lang w:eastAsia="x-none"/>
        </w:rPr>
        <w:t>CBGTI: Not to be supported for more than one P</w:t>
      </w:r>
      <w:r>
        <w:rPr>
          <w:b/>
          <w:bCs/>
          <w:lang w:eastAsia="x-none"/>
        </w:rPr>
        <w:t>D</w:t>
      </w:r>
      <w:r w:rsidRPr="00A34DED">
        <w:rPr>
          <w:b/>
          <w:bCs/>
          <w:lang w:eastAsia="x-none"/>
        </w:rPr>
        <w:t>SCH</w:t>
      </w:r>
      <w:r>
        <w:rPr>
          <w:b/>
          <w:bCs/>
          <w:lang w:eastAsia="x-none"/>
        </w:rPr>
        <w:t>/PUSCH</w:t>
      </w:r>
    </w:p>
    <w:p w14:paraId="049CB0D9" w14:textId="77777777" w:rsidR="0026206A" w:rsidRDefault="0026206A" w:rsidP="00C94A1E">
      <w:pPr>
        <w:pStyle w:val="ListParagraph"/>
        <w:numPr>
          <w:ilvl w:val="0"/>
          <w:numId w:val="11"/>
        </w:numPr>
        <w:rPr>
          <w:b/>
          <w:bCs/>
        </w:rPr>
      </w:pPr>
      <w:r w:rsidRPr="00A34DED">
        <w:rPr>
          <w:b/>
          <w:bCs/>
        </w:rPr>
        <w:t>Frequency hopping</w:t>
      </w:r>
      <w:r>
        <w:rPr>
          <w:b/>
          <w:bCs/>
        </w:rPr>
        <w:t xml:space="preserve"> for multi-PUSCH</w:t>
      </w:r>
      <w:r w:rsidRPr="00A34DED">
        <w:rPr>
          <w:b/>
          <w:bCs/>
        </w:rPr>
        <w:t xml:space="preserve">: </w:t>
      </w:r>
      <w:r>
        <w:rPr>
          <w:b/>
          <w:bCs/>
        </w:rPr>
        <w:t xml:space="preserve">supported for single PUSCH grant, and FFS: support intra-slot hopping for two or more PUSCHs </w:t>
      </w:r>
    </w:p>
    <w:p w14:paraId="0A392444" w14:textId="77777777" w:rsidR="0026206A" w:rsidRDefault="0026206A" w:rsidP="00C94A1E">
      <w:pPr>
        <w:pStyle w:val="ListParagraph"/>
        <w:numPr>
          <w:ilvl w:val="0"/>
          <w:numId w:val="11"/>
        </w:numPr>
        <w:rPr>
          <w:b/>
          <w:bCs/>
        </w:rPr>
      </w:pPr>
      <w:r>
        <w:rPr>
          <w:b/>
          <w:bCs/>
        </w:rPr>
        <w:t xml:space="preserve">FDRA optimization can be deprioritized </w:t>
      </w:r>
    </w:p>
    <w:p w14:paraId="4D30F75B" w14:textId="77777777" w:rsidR="0026206A" w:rsidRDefault="0026206A" w:rsidP="00C94A1E">
      <w:pPr>
        <w:pStyle w:val="ListParagraph"/>
        <w:numPr>
          <w:ilvl w:val="0"/>
          <w:numId w:val="11"/>
        </w:numPr>
        <w:rPr>
          <w:b/>
          <w:bCs/>
        </w:rPr>
      </w:pPr>
      <w:r w:rsidRPr="001F1991">
        <w:rPr>
          <w:b/>
          <w:bCs/>
        </w:rPr>
        <w:t>VRB-to-PRB mapping and</w:t>
      </w:r>
      <w:r>
        <w:t xml:space="preserve"> </w:t>
      </w:r>
      <w:r>
        <w:rPr>
          <w:b/>
          <w:bCs/>
        </w:rPr>
        <w:t xml:space="preserve">PRB bundling size indicator: to be applied for all granted data allocations by the same DCI </w:t>
      </w:r>
    </w:p>
    <w:p w14:paraId="6A8E2FCE" w14:textId="77777777" w:rsidR="0026206A" w:rsidRPr="00B70509" w:rsidRDefault="0026206A" w:rsidP="00C94A1E">
      <w:pPr>
        <w:pStyle w:val="ListParagraph"/>
        <w:numPr>
          <w:ilvl w:val="0"/>
          <w:numId w:val="11"/>
        </w:numPr>
        <w:rPr>
          <w:b/>
          <w:bCs/>
        </w:rPr>
      </w:pPr>
      <w:r w:rsidRPr="00B70509">
        <w:rPr>
          <w:b/>
          <w:bCs/>
        </w:rPr>
        <w:t xml:space="preserve">ZP CSI trigger: to be applied to all the slots granted by the same DCI. </w:t>
      </w:r>
    </w:p>
    <w:p w14:paraId="5F4808E6" w14:textId="4677B75E" w:rsidR="0026206A" w:rsidRDefault="0026206A" w:rsidP="00456AA3">
      <w:pPr>
        <w:overflowPunct/>
        <w:autoSpaceDE/>
        <w:autoSpaceDN/>
        <w:adjustRightInd/>
        <w:spacing w:after="0"/>
        <w:jc w:val="left"/>
        <w:textAlignment w:val="auto"/>
        <w:rPr>
          <w:b/>
          <w:bCs/>
        </w:rPr>
      </w:pPr>
      <w:r>
        <w:fldChar w:fldCharType="end"/>
      </w:r>
      <w:r>
        <w:fldChar w:fldCharType="begin"/>
      </w:r>
      <w:r>
        <w:instrText xml:space="preserve"> REF p10 \h </w:instrText>
      </w:r>
      <w:r>
        <w:fldChar w:fldCharType="separate"/>
      </w:r>
      <w:r>
        <w:rPr>
          <w:b/>
          <w:bCs/>
        </w:rPr>
        <w:t xml:space="preserve">Proposal </w:t>
      </w:r>
      <w:r>
        <w:rPr>
          <w:b/>
          <w:bCs/>
          <w:noProof/>
          <w:lang w:eastAsia="x-none"/>
        </w:rPr>
        <w:t>10</w:t>
      </w:r>
      <w:r>
        <w:rPr>
          <w:b/>
          <w:bCs/>
        </w:rPr>
        <w:t xml:space="preserve">: For TDRA filed of multi-PDSCH/PUSCH grants with single DCI, each row contains a single value of k0/k1 and multiple SLIVs, and new rules are needed to be defined </w:t>
      </w:r>
      <w:r>
        <w:rPr>
          <w:b/>
          <w:bCs/>
        </w:rPr>
        <w:tab/>
      </w:r>
    </w:p>
    <w:p w14:paraId="698A4CDF" w14:textId="77777777" w:rsidR="0026206A" w:rsidRDefault="0026206A" w:rsidP="00494D42">
      <w:pPr>
        <w:pStyle w:val="ListParagraph"/>
        <w:numPr>
          <w:ilvl w:val="0"/>
          <w:numId w:val="30"/>
        </w:numPr>
        <w:jc w:val="left"/>
        <w:rPr>
          <w:b/>
          <w:bCs/>
        </w:rPr>
      </w:pPr>
      <w:r>
        <w:rPr>
          <w:b/>
          <w:bCs/>
        </w:rPr>
        <w:t>For overlapping SLIVs: the second SLIV to be allocated in the next slot.</w:t>
      </w:r>
    </w:p>
    <w:p w14:paraId="79B407BC" w14:textId="77777777" w:rsidR="0026206A" w:rsidRDefault="0026206A" w:rsidP="00494D42">
      <w:pPr>
        <w:pStyle w:val="ListParagraph"/>
        <w:numPr>
          <w:ilvl w:val="0"/>
          <w:numId w:val="30"/>
        </w:numPr>
        <w:jc w:val="left"/>
        <w:rPr>
          <w:b/>
          <w:bCs/>
        </w:rPr>
      </w:pPr>
      <w:r>
        <w:rPr>
          <w:b/>
          <w:bCs/>
        </w:rPr>
        <w:t xml:space="preserve">Allow SLIV ‘0’ to indicate slot level gaps between the adjacent allocations. </w:t>
      </w:r>
    </w:p>
    <w:p w14:paraId="4012E64C" w14:textId="6A3CB9D3" w:rsidR="0026206A" w:rsidRPr="003C3021" w:rsidRDefault="0026206A" w:rsidP="003C3021">
      <w:pPr>
        <w:rPr>
          <w:b/>
          <w:bCs/>
        </w:rPr>
      </w:pPr>
      <w:r>
        <w:fldChar w:fldCharType="end"/>
      </w:r>
      <w:r>
        <w:fldChar w:fldCharType="begin"/>
      </w:r>
      <w:r>
        <w:instrText xml:space="preserve"> REF p11 \h </w:instrText>
      </w:r>
      <w:r>
        <w:fldChar w:fldCharType="separate"/>
      </w:r>
      <w:r w:rsidRPr="003C3021">
        <w:rPr>
          <w:b/>
          <w:bCs/>
        </w:rPr>
        <w:t>Proposal</w:t>
      </w:r>
      <w:r>
        <w:rPr>
          <w:b/>
          <w:bCs/>
        </w:rPr>
        <w:t xml:space="preserve"> </w:t>
      </w:r>
      <w:r>
        <w:rPr>
          <w:b/>
          <w:bCs/>
          <w:noProof/>
          <w:lang w:eastAsia="x-none"/>
        </w:rPr>
        <w:t>11</w:t>
      </w:r>
      <w:r w:rsidRPr="003C3021">
        <w:rPr>
          <w:b/>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p>
    <w:p w14:paraId="4F5357FA" w14:textId="3019D63D" w:rsidR="0026206A" w:rsidRPr="0026206A" w:rsidRDefault="0026206A" w:rsidP="0026206A">
      <w:r>
        <w:fldChar w:fldCharType="end"/>
      </w:r>
    </w:p>
    <w:p w14:paraId="7662BBF9" w14:textId="77777777" w:rsidR="002E4881" w:rsidRPr="00A42435" w:rsidRDefault="002E4881" w:rsidP="00C1077F">
      <w:pPr>
        <w:pStyle w:val="Heading1"/>
        <w:rPr>
          <w:lang w:val="en-US"/>
        </w:rPr>
      </w:pPr>
      <w:r w:rsidRPr="00A42435">
        <w:rPr>
          <w:lang w:val="en-US"/>
        </w:rPr>
        <w:t>References</w:t>
      </w:r>
    </w:p>
    <w:p w14:paraId="6DCB61AB" w14:textId="566AB662" w:rsidR="00551E1F" w:rsidRDefault="002123B0" w:rsidP="00F226F8">
      <w:pPr>
        <w:pStyle w:val="ListParagraph"/>
        <w:numPr>
          <w:ilvl w:val="0"/>
          <w:numId w:val="2"/>
        </w:numPr>
        <w:ind w:left="432" w:hanging="432"/>
        <w:rPr>
          <w:rFonts w:eastAsia="SimSun"/>
          <w:szCs w:val="20"/>
        </w:rPr>
      </w:pPr>
      <w:bookmarkStart w:id="11" w:name="_Ref39444763"/>
      <w:r>
        <w:rPr>
          <w:rFonts w:eastAsia="SimSun"/>
          <w:szCs w:val="20"/>
        </w:rPr>
        <w:t xml:space="preserve">   R</w:t>
      </w:r>
      <w:r w:rsidR="00BC5D8C">
        <w:rPr>
          <w:rFonts w:eastAsia="SimSun"/>
          <w:szCs w:val="20"/>
        </w:rPr>
        <w:t>P-</w:t>
      </w:r>
      <w:r w:rsidR="00F06C40">
        <w:rPr>
          <w:rFonts w:eastAsia="SimSun"/>
          <w:szCs w:val="20"/>
        </w:rPr>
        <w:t>202925</w:t>
      </w:r>
      <w:r w:rsidR="00193EE6">
        <w:rPr>
          <w:rFonts w:eastAsia="SimSun"/>
          <w:szCs w:val="20"/>
        </w:rPr>
        <w:t xml:space="preserve">, </w:t>
      </w:r>
      <w:r w:rsidR="00AE48F9">
        <w:rPr>
          <w:rFonts w:eastAsia="SimSun"/>
          <w:szCs w:val="20"/>
        </w:rPr>
        <w:t>“</w:t>
      </w:r>
      <w:r w:rsidR="006E4CAA" w:rsidRPr="006E4CAA">
        <w:rPr>
          <w:rFonts w:eastAsia="SimSun"/>
          <w:szCs w:val="20"/>
        </w:rPr>
        <w:t>Revised WID: Extending current NR operation to 71GHz</w:t>
      </w:r>
      <w:r w:rsidR="00B916C7" w:rsidRPr="006E4CAA">
        <w:rPr>
          <w:rFonts w:eastAsia="SimSun"/>
          <w:szCs w:val="20"/>
        </w:rPr>
        <w:t>”</w:t>
      </w:r>
      <w:r w:rsidR="0057661B" w:rsidRPr="006E4CAA">
        <w:rPr>
          <w:rFonts w:eastAsia="SimSun"/>
          <w:szCs w:val="20"/>
        </w:rPr>
        <w:t>,</w:t>
      </w:r>
      <w:r w:rsidR="0057661B">
        <w:rPr>
          <w:rFonts w:eastAsia="SimSun"/>
          <w:szCs w:val="20"/>
        </w:rPr>
        <w:t xml:space="preserve"> RAN</w:t>
      </w:r>
      <w:r w:rsidR="00352EBA">
        <w:rPr>
          <w:rFonts w:eastAsia="SimSun"/>
          <w:szCs w:val="20"/>
        </w:rPr>
        <w:t xml:space="preserve"> #</w:t>
      </w:r>
      <w:r w:rsidR="00F06C40">
        <w:rPr>
          <w:rFonts w:eastAsia="SimSun"/>
          <w:szCs w:val="20"/>
        </w:rPr>
        <w:t>90e</w:t>
      </w:r>
      <w:r w:rsidR="00352EBA">
        <w:rPr>
          <w:rFonts w:eastAsia="SimSun"/>
          <w:szCs w:val="20"/>
        </w:rPr>
        <w:t xml:space="preserve">, </w:t>
      </w:r>
      <w:bookmarkEnd w:id="11"/>
      <w:r w:rsidR="00F06C40">
        <w:rPr>
          <w:rFonts w:eastAsia="SimSun"/>
          <w:szCs w:val="20"/>
        </w:rPr>
        <w:t>CMCC</w:t>
      </w:r>
    </w:p>
    <w:p w14:paraId="400E982A" w14:textId="26F9C51C" w:rsidR="00A90DB3" w:rsidRPr="0029765D" w:rsidRDefault="00654987" w:rsidP="00654987">
      <w:pPr>
        <w:pStyle w:val="ListParagraph"/>
        <w:numPr>
          <w:ilvl w:val="0"/>
          <w:numId w:val="2"/>
        </w:numPr>
        <w:jc w:val="left"/>
        <w:rPr>
          <w:lang w:val="de-DE"/>
        </w:rPr>
      </w:pPr>
      <w:r w:rsidRPr="00654987">
        <w:rPr>
          <w:lang w:val="de-DE"/>
        </w:rPr>
        <w:t>R1-2104042</w:t>
      </w:r>
      <w:r w:rsidR="00D7662F">
        <w:rPr>
          <w:lang w:val="en-GB"/>
        </w:rPr>
        <w:t xml:space="preserve"> </w:t>
      </w:r>
      <w:r w:rsidR="00764923">
        <w:rPr>
          <w:lang w:val="en-GB"/>
        </w:rPr>
        <w:t>“</w:t>
      </w:r>
      <w:r w:rsidR="00FD61B6" w:rsidRPr="00FD61B6">
        <w:rPr>
          <w:lang w:val="en-GB"/>
        </w:rPr>
        <w:t>Summary #3 of PDSCH/PUSCH enhancements (Scheduling/HARQ)</w:t>
      </w:r>
      <w:r w:rsidR="0072578A">
        <w:rPr>
          <w:lang w:val="en-GB"/>
        </w:rPr>
        <w:t>”</w:t>
      </w:r>
      <w:r w:rsidR="00FF46A0" w:rsidRPr="00A34DED">
        <w:rPr>
          <w:lang w:val="en-GB"/>
        </w:rPr>
        <w:t>, RAN1 #104-</w:t>
      </w:r>
      <w:r>
        <w:t>bis-</w:t>
      </w:r>
      <w:r w:rsidR="00FF46A0" w:rsidRPr="00A34DED">
        <w:rPr>
          <w:lang w:val="en-GB"/>
        </w:rPr>
        <w:t>e</w:t>
      </w:r>
      <w:r w:rsidR="00FF46A0">
        <w:rPr>
          <w:lang w:val="en-GB"/>
        </w:rPr>
        <w:t xml:space="preserve"> </w:t>
      </w:r>
      <w:r w:rsidR="00FF46A0" w:rsidRPr="00FF46A0">
        <w:rPr>
          <w:lang w:val="en-GB"/>
        </w:rPr>
        <w:t>Moderator (LG Electronics)</w:t>
      </w:r>
      <w:r w:rsidR="002123B0">
        <w:rPr>
          <w:lang w:val="en-GB"/>
        </w:rPr>
        <w:t>.</w:t>
      </w:r>
    </w:p>
    <w:p w14:paraId="570B7C0B" w14:textId="4F51B417" w:rsidR="0029765D" w:rsidRPr="00163FC4" w:rsidRDefault="00163FC4" w:rsidP="006A1FCB">
      <w:pPr>
        <w:pStyle w:val="ListParagraph"/>
        <w:numPr>
          <w:ilvl w:val="0"/>
          <w:numId w:val="2"/>
        </w:numPr>
        <w:jc w:val="left"/>
        <w:rPr>
          <w:lang w:val="de-DE"/>
        </w:rPr>
      </w:pPr>
      <w:r>
        <w:t>R1-2103158 “</w:t>
      </w:r>
      <w:r w:rsidRPr="00FE073E">
        <w:t>PDCCH monitoring enhancements</w:t>
      </w:r>
      <w:r>
        <w:t>”, RAN1 #104-bis-e, Qualcomm</w:t>
      </w:r>
    </w:p>
    <w:sectPr w:rsidR="0029765D" w:rsidRPr="00163FC4" w:rsidSect="00D87391">
      <w:headerReference w:type="even" r:id="rId18"/>
      <w:footerReference w:type="even" r:id="rId19"/>
      <w:footerReference w:type="defaul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49D21" w14:textId="77777777" w:rsidR="00D35DEB" w:rsidRDefault="00D35DEB">
      <w:r>
        <w:separator/>
      </w:r>
    </w:p>
  </w:endnote>
  <w:endnote w:type="continuationSeparator" w:id="0">
    <w:p w14:paraId="261B0589" w14:textId="77777777" w:rsidR="00D35DEB" w:rsidRDefault="00D35DEB">
      <w:r>
        <w:continuationSeparator/>
      </w:r>
    </w:p>
  </w:endnote>
  <w:endnote w:type="continuationNotice" w:id="1">
    <w:p w14:paraId="02A6A6F4" w14:textId="77777777" w:rsidR="00D35DEB" w:rsidRDefault="00D35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FB4850" w:rsidRDefault="00FB48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B4850" w:rsidRDefault="00FB485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FB4850" w:rsidRDefault="00FB48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21824" w14:textId="77777777" w:rsidR="00D35DEB" w:rsidRDefault="00D35DEB">
      <w:r>
        <w:separator/>
      </w:r>
    </w:p>
  </w:footnote>
  <w:footnote w:type="continuationSeparator" w:id="0">
    <w:p w14:paraId="03B7AD92" w14:textId="77777777" w:rsidR="00D35DEB" w:rsidRDefault="00D35DEB">
      <w:r>
        <w:continuationSeparator/>
      </w:r>
    </w:p>
  </w:footnote>
  <w:footnote w:type="continuationNotice" w:id="1">
    <w:p w14:paraId="30985E23" w14:textId="77777777" w:rsidR="00D35DEB" w:rsidRDefault="00D35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FB4850" w:rsidRDefault="00FB485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351401"/>
    <w:multiLevelType w:val="hybridMultilevel"/>
    <w:tmpl w:val="5C74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D4B6F4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754C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DF6"/>
    <w:multiLevelType w:val="hybridMultilevel"/>
    <w:tmpl w:val="D890A812"/>
    <w:lvl w:ilvl="0" w:tplc="3FC01334">
      <w:start w:val="1"/>
      <w:numFmt w:val="bullet"/>
      <w:lvlText w:val="•"/>
      <w:lvlJc w:val="left"/>
      <w:pPr>
        <w:tabs>
          <w:tab w:val="num" w:pos="720"/>
        </w:tabs>
        <w:ind w:left="720" w:hanging="360"/>
      </w:pPr>
      <w:rPr>
        <w:rFonts w:ascii="Arial" w:hAnsi="Arial" w:hint="default"/>
      </w:rPr>
    </w:lvl>
    <w:lvl w:ilvl="1" w:tplc="3536BD36" w:tentative="1">
      <w:start w:val="1"/>
      <w:numFmt w:val="bullet"/>
      <w:lvlText w:val="•"/>
      <w:lvlJc w:val="left"/>
      <w:pPr>
        <w:tabs>
          <w:tab w:val="num" w:pos="1440"/>
        </w:tabs>
        <w:ind w:left="1440" w:hanging="360"/>
      </w:pPr>
      <w:rPr>
        <w:rFonts w:ascii="Arial" w:hAnsi="Arial" w:hint="default"/>
      </w:rPr>
    </w:lvl>
    <w:lvl w:ilvl="2" w:tplc="6FDE1010" w:tentative="1">
      <w:start w:val="1"/>
      <w:numFmt w:val="bullet"/>
      <w:lvlText w:val="•"/>
      <w:lvlJc w:val="left"/>
      <w:pPr>
        <w:tabs>
          <w:tab w:val="num" w:pos="2160"/>
        </w:tabs>
        <w:ind w:left="2160" w:hanging="360"/>
      </w:pPr>
      <w:rPr>
        <w:rFonts w:ascii="Arial" w:hAnsi="Arial" w:hint="default"/>
      </w:rPr>
    </w:lvl>
    <w:lvl w:ilvl="3" w:tplc="9AD6A7DA" w:tentative="1">
      <w:start w:val="1"/>
      <w:numFmt w:val="bullet"/>
      <w:lvlText w:val="•"/>
      <w:lvlJc w:val="left"/>
      <w:pPr>
        <w:tabs>
          <w:tab w:val="num" w:pos="2880"/>
        </w:tabs>
        <w:ind w:left="2880" w:hanging="360"/>
      </w:pPr>
      <w:rPr>
        <w:rFonts w:ascii="Arial" w:hAnsi="Arial" w:hint="default"/>
      </w:rPr>
    </w:lvl>
    <w:lvl w:ilvl="4" w:tplc="DDA20C62" w:tentative="1">
      <w:start w:val="1"/>
      <w:numFmt w:val="bullet"/>
      <w:lvlText w:val="•"/>
      <w:lvlJc w:val="left"/>
      <w:pPr>
        <w:tabs>
          <w:tab w:val="num" w:pos="3600"/>
        </w:tabs>
        <w:ind w:left="3600" w:hanging="360"/>
      </w:pPr>
      <w:rPr>
        <w:rFonts w:ascii="Arial" w:hAnsi="Arial" w:hint="default"/>
      </w:rPr>
    </w:lvl>
    <w:lvl w:ilvl="5" w:tplc="76BA4F90" w:tentative="1">
      <w:start w:val="1"/>
      <w:numFmt w:val="bullet"/>
      <w:lvlText w:val="•"/>
      <w:lvlJc w:val="left"/>
      <w:pPr>
        <w:tabs>
          <w:tab w:val="num" w:pos="4320"/>
        </w:tabs>
        <w:ind w:left="4320" w:hanging="360"/>
      </w:pPr>
      <w:rPr>
        <w:rFonts w:ascii="Arial" w:hAnsi="Arial" w:hint="default"/>
      </w:rPr>
    </w:lvl>
    <w:lvl w:ilvl="6" w:tplc="B44C64FE" w:tentative="1">
      <w:start w:val="1"/>
      <w:numFmt w:val="bullet"/>
      <w:lvlText w:val="•"/>
      <w:lvlJc w:val="left"/>
      <w:pPr>
        <w:tabs>
          <w:tab w:val="num" w:pos="5040"/>
        </w:tabs>
        <w:ind w:left="5040" w:hanging="360"/>
      </w:pPr>
      <w:rPr>
        <w:rFonts w:ascii="Arial" w:hAnsi="Arial" w:hint="default"/>
      </w:rPr>
    </w:lvl>
    <w:lvl w:ilvl="7" w:tplc="BAC6C87C" w:tentative="1">
      <w:start w:val="1"/>
      <w:numFmt w:val="bullet"/>
      <w:lvlText w:val="•"/>
      <w:lvlJc w:val="left"/>
      <w:pPr>
        <w:tabs>
          <w:tab w:val="num" w:pos="5760"/>
        </w:tabs>
        <w:ind w:left="5760" w:hanging="360"/>
      </w:pPr>
      <w:rPr>
        <w:rFonts w:ascii="Arial" w:hAnsi="Arial" w:hint="default"/>
      </w:rPr>
    </w:lvl>
    <w:lvl w:ilvl="8" w:tplc="C0A895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7000E3A"/>
    <w:multiLevelType w:val="hybridMultilevel"/>
    <w:tmpl w:val="F8383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083EC9"/>
    <w:multiLevelType w:val="hybridMultilevel"/>
    <w:tmpl w:val="E682CD1E"/>
    <w:lvl w:ilvl="0" w:tplc="44BEB59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123743"/>
    <w:multiLevelType w:val="hybridMultilevel"/>
    <w:tmpl w:val="6B38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F6DED"/>
    <w:multiLevelType w:val="hybridMultilevel"/>
    <w:tmpl w:val="D48EC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926B8"/>
    <w:multiLevelType w:val="hybridMultilevel"/>
    <w:tmpl w:val="1C7E80AA"/>
    <w:lvl w:ilvl="0" w:tplc="747883B6">
      <w:start w:val="1"/>
      <w:numFmt w:val="bullet"/>
      <w:lvlText w:val=""/>
      <w:lvlJc w:val="left"/>
      <w:pPr>
        <w:tabs>
          <w:tab w:val="num" w:pos="720"/>
        </w:tabs>
        <w:ind w:left="720" w:hanging="360"/>
      </w:pPr>
      <w:rPr>
        <w:rFonts w:ascii="Symbol" w:hAnsi="Symbol" w:hint="default"/>
      </w:rPr>
    </w:lvl>
    <w:lvl w:ilvl="1" w:tplc="60D674E4">
      <w:start w:val="83"/>
      <w:numFmt w:val="bullet"/>
      <w:lvlText w:val="◦"/>
      <w:lvlJc w:val="left"/>
      <w:pPr>
        <w:tabs>
          <w:tab w:val="num" w:pos="1440"/>
        </w:tabs>
        <w:ind w:left="1440" w:hanging="360"/>
      </w:pPr>
      <w:rPr>
        <w:rFonts w:ascii="Microsoft Sans Serif" w:hAnsi="Microsoft Sans Serif" w:hint="default"/>
      </w:rPr>
    </w:lvl>
    <w:lvl w:ilvl="2" w:tplc="D0F6FAA8">
      <w:numFmt w:val="bullet"/>
      <w:lvlText w:val="•"/>
      <w:lvlJc w:val="left"/>
      <w:pPr>
        <w:tabs>
          <w:tab w:val="num" w:pos="2160"/>
        </w:tabs>
        <w:ind w:left="2160" w:hanging="360"/>
      </w:pPr>
      <w:rPr>
        <w:rFonts w:ascii="Microsoft Sans Serif" w:hAnsi="Microsoft Sans Serif" w:hint="default"/>
      </w:rPr>
    </w:lvl>
    <w:lvl w:ilvl="3" w:tplc="C6203BF0" w:tentative="1">
      <w:start w:val="1"/>
      <w:numFmt w:val="bullet"/>
      <w:lvlText w:val=""/>
      <w:lvlJc w:val="left"/>
      <w:pPr>
        <w:tabs>
          <w:tab w:val="num" w:pos="2880"/>
        </w:tabs>
        <w:ind w:left="2880" w:hanging="360"/>
      </w:pPr>
      <w:rPr>
        <w:rFonts w:ascii="Symbol" w:hAnsi="Symbol" w:hint="default"/>
      </w:rPr>
    </w:lvl>
    <w:lvl w:ilvl="4" w:tplc="C4AA39CC" w:tentative="1">
      <w:start w:val="1"/>
      <w:numFmt w:val="bullet"/>
      <w:lvlText w:val=""/>
      <w:lvlJc w:val="left"/>
      <w:pPr>
        <w:tabs>
          <w:tab w:val="num" w:pos="3600"/>
        </w:tabs>
        <w:ind w:left="3600" w:hanging="360"/>
      </w:pPr>
      <w:rPr>
        <w:rFonts w:ascii="Symbol" w:hAnsi="Symbol" w:hint="default"/>
      </w:rPr>
    </w:lvl>
    <w:lvl w:ilvl="5" w:tplc="BF3E513E" w:tentative="1">
      <w:start w:val="1"/>
      <w:numFmt w:val="bullet"/>
      <w:lvlText w:val=""/>
      <w:lvlJc w:val="left"/>
      <w:pPr>
        <w:tabs>
          <w:tab w:val="num" w:pos="4320"/>
        </w:tabs>
        <w:ind w:left="4320" w:hanging="360"/>
      </w:pPr>
      <w:rPr>
        <w:rFonts w:ascii="Symbol" w:hAnsi="Symbol" w:hint="default"/>
      </w:rPr>
    </w:lvl>
    <w:lvl w:ilvl="6" w:tplc="3366346A" w:tentative="1">
      <w:start w:val="1"/>
      <w:numFmt w:val="bullet"/>
      <w:lvlText w:val=""/>
      <w:lvlJc w:val="left"/>
      <w:pPr>
        <w:tabs>
          <w:tab w:val="num" w:pos="5040"/>
        </w:tabs>
        <w:ind w:left="5040" w:hanging="360"/>
      </w:pPr>
      <w:rPr>
        <w:rFonts w:ascii="Symbol" w:hAnsi="Symbol" w:hint="default"/>
      </w:rPr>
    </w:lvl>
    <w:lvl w:ilvl="7" w:tplc="162A8C60" w:tentative="1">
      <w:start w:val="1"/>
      <w:numFmt w:val="bullet"/>
      <w:lvlText w:val=""/>
      <w:lvlJc w:val="left"/>
      <w:pPr>
        <w:tabs>
          <w:tab w:val="num" w:pos="5760"/>
        </w:tabs>
        <w:ind w:left="5760" w:hanging="360"/>
      </w:pPr>
      <w:rPr>
        <w:rFonts w:ascii="Symbol" w:hAnsi="Symbol" w:hint="default"/>
      </w:rPr>
    </w:lvl>
    <w:lvl w:ilvl="8" w:tplc="BEF414E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553E0"/>
    <w:multiLevelType w:val="multilevel"/>
    <w:tmpl w:val="42B553E0"/>
    <w:lvl w:ilvl="0">
      <w:numFmt w:val="bullet"/>
      <w:lvlText w:val=""/>
      <w:lvlJc w:val="left"/>
      <w:pPr>
        <w:ind w:left="1224" w:hanging="360"/>
      </w:pPr>
      <w:rPr>
        <w:rFonts w:ascii="Symbol" w:eastAsia="Calibri" w:hAnsi="Symbol" w:cs="Times New Roman"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8" w15:restartNumberingAfterBreak="0">
    <w:nsid w:val="467B325E"/>
    <w:multiLevelType w:val="hybridMultilevel"/>
    <w:tmpl w:val="871E2D2A"/>
    <w:lvl w:ilvl="0" w:tplc="44BEB590">
      <w:start w:val="1"/>
      <w:numFmt w:val="bullet"/>
      <w:lvlText w:val="•"/>
      <w:lvlJc w:val="left"/>
      <w:pPr>
        <w:tabs>
          <w:tab w:val="num" w:pos="360"/>
        </w:tabs>
        <w:ind w:left="360" w:hanging="360"/>
      </w:pPr>
      <w:rPr>
        <w:rFonts w:ascii="Arial" w:hAnsi="Arial" w:hint="default"/>
      </w:rPr>
    </w:lvl>
    <w:lvl w:ilvl="1" w:tplc="F92A8B4A" w:tentative="1">
      <w:start w:val="1"/>
      <w:numFmt w:val="bullet"/>
      <w:lvlText w:val="•"/>
      <w:lvlJc w:val="left"/>
      <w:pPr>
        <w:tabs>
          <w:tab w:val="num" w:pos="1080"/>
        </w:tabs>
        <w:ind w:left="1080" w:hanging="360"/>
      </w:pPr>
      <w:rPr>
        <w:rFonts w:ascii="Arial" w:hAnsi="Arial" w:hint="default"/>
      </w:rPr>
    </w:lvl>
    <w:lvl w:ilvl="2" w:tplc="FA6C9112" w:tentative="1">
      <w:start w:val="1"/>
      <w:numFmt w:val="bullet"/>
      <w:lvlText w:val="•"/>
      <w:lvlJc w:val="left"/>
      <w:pPr>
        <w:tabs>
          <w:tab w:val="num" w:pos="1800"/>
        </w:tabs>
        <w:ind w:left="1800" w:hanging="360"/>
      </w:pPr>
      <w:rPr>
        <w:rFonts w:ascii="Arial" w:hAnsi="Arial" w:hint="default"/>
      </w:rPr>
    </w:lvl>
    <w:lvl w:ilvl="3" w:tplc="E480A66C" w:tentative="1">
      <w:start w:val="1"/>
      <w:numFmt w:val="bullet"/>
      <w:lvlText w:val="•"/>
      <w:lvlJc w:val="left"/>
      <w:pPr>
        <w:tabs>
          <w:tab w:val="num" w:pos="2520"/>
        </w:tabs>
        <w:ind w:left="2520" w:hanging="360"/>
      </w:pPr>
      <w:rPr>
        <w:rFonts w:ascii="Arial" w:hAnsi="Arial" w:hint="default"/>
      </w:rPr>
    </w:lvl>
    <w:lvl w:ilvl="4" w:tplc="223CD50C" w:tentative="1">
      <w:start w:val="1"/>
      <w:numFmt w:val="bullet"/>
      <w:lvlText w:val="•"/>
      <w:lvlJc w:val="left"/>
      <w:pPr>
        <w:tabs>
          <w:tab w:val="num" w:pos="3240"/>
        </w:tabs>
        <w:ind w:left="3240" w:hanging="360"/>
      </w:pPr>
      <w:rPr>
        <w:rFonts w:ascii="Arial" w:hAnsi="Arial" w:hint="default"/>
      </w:rPr>
    </w:lvl>
    <w:lvl w:ilvl="5" w:tplc="D734684E" w:tentative="1">
      <w:start w:val="1"/>
      <w:numFmt w:val="bullet"/>
      <w:lvlText w:val="•"/>
      <w:lvlJc w:val="left"/>
      <w:pPr>
        <w:tabs>
          <w:tab w:val="num" w:pos="3960"/>
        </w:tabs>
        <w:ind w:left="3960" w:hanging="360"/>
      </w:pPr>
      <w:rPr>
        <w:rFonts w:ascii="Arial" w:hAnsi="Arial" w:hint="default"/>
      </w:rPr>
    </w:lvl>
    <w:lvl w:ilvl="6" w:tplc="FD1A86A6" w:tentative="1">
      <w:start w:val="1"/>
      <w:numFmt w:val="bullet"/>
      <w:lvlText w:val="•"/>
      <w:lvlJc w:val="left"/>
      <w:pPr>
        <w:tabs>
          <w:tab w:val="num" w:pos="4680"/>
        </w:tabs>
        <w:ind w:left="4680" w:hanging="360"/>
      </w:pPr>
      <w:rPr>
        <w:rFonts w:ascii="Arial" w:hAnsi="Arial" w:hint="default"/>
      </w:rPr>
    </w:lvl>
    <w:lvl w:ilvl="7" w:tplc="1BCE1F30" w:tentative="1">
      <w:start w:val="1"/>
      <w:numFmt w:val="bullet"/>
      <w:lvlText w:val="•"/>
      <w:lvlJc w:val="left"/>
      <w:pPr>
        <w:tabs>
          <w:tab w:val="num" w:pos="5400"/>
        </w:tabs>
        <w:ind w:left="5400" w:hanging="360"/>
      </w:pPr>
      <w:rPr>
        <w:rFonts w:ascii="Arial" w:hAnsi="Arial" w:hint="default"/>
      </w:rPr>
    </w:lvl>
    <w:lvl w:ilvl="8" w:tplc="D64A6F1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CF1059"/>
    <w:multiLevelType w:val="hybridMultilevel"/>
    <w:tmpl w:val="AB6037A4"/>
    <w:lvl w:ilvl="0" w:tplc="F5F2026C">
      <w:start w:val="1"/>
      <w:numFmt w:val="bullet"/>
      <w:lvlText w:val="•"/>
      <w:lvlJc w:val="left"/>
      <w:pPr>
        <w:tabs>
          <w:tab w:val="num" w:pos="720"/>
        </w:tabs>
        <w:ind w:left="720" w:hanging="360"/>
      </w:pPr>
      <w:rPr>
        <w:rFonts w:ascii="Arial" w:hAnsi="Arial" w:hint="default"/>
      </w:rPr>
    </w:lvl>
    <w:lvl w:ilvl="1" w:tplc="5DE21724">
      <w:numFmt w:val="bullet"/>
      <w:lvlText w:val="◦"/>
      <w:lvlJc w:val="left"/>
      <w:pPr>
        <w:tabs>
          <w:tab w:val="num" w:pos="1440"/>
        </w:tabs>
        <w:ind w:left="1440" w:hanging="360"/>
      </w:pPr>
      <w:rPr>
        <w:rFonts w:ascii="Microsoft Sans Serif" w:hAnsi="Microsoft Sans Serif" w:hint="default"/>
      </w:rPr>
    </w:lvl>
    <w:lvl w:ilvl="2" w:tplc="4234285A">
      <w:numFmt w:val="bullet"/>
      <w:lvlText w:val="•"/>
      <w:lvlJc w:val="left"/>
      <w:pPr>
        <w:tabs>
          <w:tab w:val="num" w:pos="2160"/>
        </w:tabs>
        <w:ind w:left="2160" w:hanging="360"/>
      </w:pPr>
      <w:rPr>
        <w:rFonts w:ascii="Microsoft Sans Serif" w:hAnsi="Microsoft Sans Serif" w:hint="default"/>
      </w:rPr>
    </w:lvl>
    <w:lvl w:ilvl="3" w:tplc="8716E98E" w:tentative="1">
      <w:start w:val="1"/>
      <w:numFmt w:val="bullet"/>
      <w:lvlText w:val="•"/>
      <w:lvlJc w:val="left"/>
      <w:pPr>
        <w:tabs>
          <w:tab w:val="num" w:pos="2880"/>
        </w:tabs>
        <w:ind w:left="2880" w:hanging="360"/>
      </w:pPr>
      <w:rPr>
        <w:rFonts w:ascii="Arial" w:hAnsi="Arial" w:hint="default"/>
      </w:rPr>
    </w:lvl>
    <w:lvl w:ilvl="4" w:tplc="95D6E026" w:tentative="1">
      <w:start w:val="1"/>
      <w:numFmt w:val="bullet"/>
      <w:lvlText w:val="•"/>
      <w:lvlJc w:val="left"/>
      <w:pPr>
        <w:tabs>
          <w:tab w:val="num" w:pos="3600"/>
        </w:tabs>
        <w:ind w:left="3600" w:hanging="360"/>
      </w:pPr>
      <w:rPr>
        <w:rFonts w:ascii="Arial" w:hAnsi="Arial" w:hint="default"/>
      </w:rPr>
    </w:lvl>
    <w:lvl w:ilvl="5" w:tplc="C36215BE" w:tentative="1">
      <w:start w:val="1"/>
      <w:numFmt w:val="bullet"/>
      <w:lvlText w:val="•"/>
      <w:lvlJc w:val="left"/>
      <w:pPr>
        <w:tabs>
          <w:tab w:val="num" w:pos="4320"/>
        </w:tabs>
        <w:ind w:left="4320" w:hanging="360"/>
      </w:pPr>
      <w:rPr>
        <w:rFonts w:ascii="Arial" w:hAnsi="Arial" w:hint="default"/>
      </w:rPr>
    </w:lvl>
    <w:lvl w:ilvl="6" w:tplc="93968508" w:tentative="1">
      <w:start w:val="1"/>
      <w:numFmt w:val="bullet"/>
      <w:lvlText w:val="•"/>
      <w:lvlJc w:val="left"/>
      <w:pPr>
        <w:tabs>
          <w:tab w:val="num" w:pos="5040"/>
        </w:tabs>
        <w:ind w:left="5040" w:hanging="360"/>
      </w:pPr>
      <w:rPr>
        <w:rFonts w:ascii="Arial" w:hAnsi="Arial" w:hint="default"/>
      </w:rPr>
    </w:lvl>
    <w:lvl w:ilvl="7" w:tplc="1E3A0F9A" w:tentative="1">
      <w:start w:val="1"/>
      <w:numFmt w:val="bullet"/>
      <w:lvlText w:val="•"/>
      <w:lvlJc w:val="left"/>
      <w:pPr>
        <w:tabs>
          <w:tab w:val="num" w:pos="5760"/>
        </w:tabs>
        <w:ind w:left="5760" w:hanging="360"/>
      </w:pPr>
      <w:rPr>
        <w:rFonts w:ascii="Arial" w:hAnsi="Arial" w:hint="default"/>
      </w:rPr>
    </w:lvl>
    <w:lvl w:ilvl="8" w:tplc="040CB9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91D94"/>
    <w:multiLevelType w:val="hybridMultilevel"/>
    <w:tmpl w:val="C874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34151"/>
    <w:multiLevelType w:val="hybridMultilevel"/>
    <w:tmpl w:val="E24ABA54"/>
    <w:lvl w:ilvl="0" w:tplc="99745CEC">
      <w:start w:val="1"/>
      <w:numFmt w:val="bullet"/>
      <w:lvlText w:val="•"/>
      <w:lvlJc w:val="left"/>
      <w:pPr>
        <w:tabs>
          <w:tab w:val="num" w:pos="720"/>
        </w:tabs>
        <w:ind w:left="720" w:hanging="360"/>
      </w:pPr>
      <w:rPr>
        <w:rFonts w:ascii="Microsoft Sans Serif" w:hAnsi="Microsoft Sans Serif" w:hint="default"/>
      </w:rPr>
    </w:lvl>
    <w:lvl w:ilvl="1" w:tplc="3EB4F4B6" w:tentative="1">
      <w:start w:val="1"/>
      <w:numFmt w:val="bullet"/>
      <w:lvlText w:val="•"/>
      <w:lvlJc w:val="left"/>
      <w:pPr>
        <w:tabs>
          <w:tab w:val="num" w:pos="1440"/>
        </w:tabs>
        <w:ind w:left="1440" w:hanging="360"/>
      </w:pPr>
      <w:rPr>
        <w:rFonts w:ascii="Microsoft Sans Serif" w:hAnsi="Microsoft Sans Serif" w:hint="default"/>
      </w:rPr>
    </w:lvl>
    <w:lvl w:ilvl="2" w:tplc="9B72F776">
      <w:start w:val="1"/>
      <w:numFmt w:val="bullet"/>
      <w:lvlText w:val="•"/>
      <w:lvlJc w:val="left"/>
      <w:pPr>
        <w:tabs>
          <w:tab w:val="num" w:pos="2160"/>
        </w:tabs>
        <w:ind w:left="2160" w:hanging="360"/>
      </w:pPr>
      <w:rPr>
        <w:rFonts w:ascii="Microsoft Sans Serif" w:hAnsi="Microsoft Sans Serif" w:hint="default"/>
      </w:rPr>
    </w:lvl>
    <w:lvl w:ilvl="3" w:tplc="1E68CCE8" w:tentative="1">
      <w:start w:val="1"/>
      <w:numFmt w:val="bullet"/>
      <w:lvlText w:val="•"/>
      <w:lvlJc w:val="left"/>
      <w:pPr>
        <w:tabs>
          <w:tab w:val="num" w:pos="2880"/>
        </w:tabs>
        <w:ind w:left="2880" w:hanging="360"/>
      </w:pPr>
      <w:rPr>
        <w:rFonts w:ascii="Microsoft Sans Serif" w:hAnsi="Microsoft Sans Serif" w:hint="default"/>
      </w:rPr>
    </w:lvl>
    <w:lvl w:ilvl="4" w:tplc="59428D0A" w:tentative="1">
      <w:start w:val="1"/>
      <w:numFmt w:val="bullet"/>
      <w:lvlText w:val="•"/>
      <w:lvlJc w:val="left"/>
      <w:pPr>
        <w:tabs>
          <w:tab w:val="num" w:pos="3600"/>
        </w:tabs>
        <w:ind w:left="3600" w:hanging="360"/>
      </w:pPr>
      <w:rPr>
        <w:rFonts w:ascii="Microsoft Sans Serif" w:hAnsi="Microsoft Sans Serif" w:hint="default"/>
      </w:rPr>
    </w:lvl>
    <w:lvl w:ilvl="5" w:tplc="652CCC4A" w:tentative="1">
      <w:start w:val="1"/>
      <w:numFmt w:val="bullet"/>
      <w:lvlText w:val="•"/>
      <w:lvlJc w:val="left"/>
      <w:pPr>
        <w:tabs>
          <w:tab w:val="num" w:pos="4320"/>
        </w:tabs>
        <w:ind w:left="4320" w:hanging="360"/>
      </w:pPr>
      <w:rPr>
        <w:rFonts w:ascii="Microsoft Sans Serif" w:hAnsi="Microsoft Sans Serif" w:hint="default"/>
      </w:rPr>
    </w:lvl>
    <w:lvl w:ilvl="6" w:tplc="E87C8310" w:tentative="1">
      <w:start w:val="1"/>
      <w:numFmt w:val="bullet"/>
      <w:lvlText w:val="•"/>
      <w:lvlJc w:val="left"/>
      <w:pPr>
        <w:tabs>
          <w:tab w:val="num" w:pos="5040"/>
        </w:tabs>
        <w:ind w:left="5040" w:hanging="360"/>
      </w:pPr>
      <w:rPr>
        <w:rFonts w:ascii="Microsoft Sans Serif" w:hAnsi="Microsoft Sans Serif" w:hint="default"/>
      </w:rPr>
    </w:lvl>
    <w:lvl w:ilvl="7" w:tplc="A4328FC0" w:tentative="1">
      <w:start w:val="1"/>
      <w:numFmt w:val="bullet"/>
      <w:lvlText w:val="•"/>
      <w:lvlJc w:val="left"/>
      <w:pPr>
        <w:tabs>
          <w:tab w:val="num" w:pos="5760"/>
        </w:tabs>
        <w:ind w:left="5760" w:hanging="360"/>
      </w:pPr>
      <w:rPr>
        <w:rFonts w:ascii="Microsoft Sans Serif" w:hAnsi="Microsoft Sans Serif" w:hint="default"/>
      </w:rPr>
    </w:lvl>
    <w:lvl w:ilvl="8" w:tplc="54521E98"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63E2176D"/>
    <w:multiLevelType w:val="multilevel"/>
    <w:tmpl w:val="EAD8FC52"/>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23" w15:restartNumberingAfterBreak="0">
    <w:nsid w:val="6498623D"/>
    <w:multiLevelType w:val="hybridMultilevel"/>
    <w:tmpl w:val="0DFA9F74"/>
    <w:lvl w:ilvl="0" w:tplc="44BEB59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3333F"/>
    <w:multiLevelType w:val="hybridMultilevel"/>
    <w:tmpl w:val="890E4822"/>
    <w:lvl w:ilvl="0" w:tplc="97BA319C">
      <w:start w:val="1"/>
      <w:numFmt w:val="bullet"/>
      <w:lvlText w:val="•"/>
      <w:lvlJc w:val="left"/>
      <w:pPr>
        <w:tabs>
          <w:tab w:val="num" w:pos="720"/>
        </w:tabs>
        <w:ind w:left="720" w:hanging="360"/>
      </w:pPr>
      <w:rPr>
        <w:rFonts w:ascii="Arial" w:hAnsi="Arial" w:hint="default"/>
      </w:rPr>
    </w:lvl>
    <w:lvl w:ilvl="1" w:tplc="8188DBB6">
      <w:numFmt w:val="bullet"/>
      <w:lvlText w:val="◦"/>
      <w:lvlJc w:val="left"/>
      <w:pPr>
        <w:tabs>
          <w:tab w:val="num" w:pos="1440"/>
        </w:tabs>
        <w:ind w:left="1440" w:hanging="360"/>
      </w:pPr>
      <w:rPr>
        <w:rFonts w:ascii="Microsoft Sans Serif" w:hAnsi="Microsoft Sans Serif" w:hint="default"/>
      </w:rPr>
    </w:lvl>
    <w:lvl w:ilvl="2" w:tplc="56046652">
      <w:numFmt w:val="bullet"/>
      <w:lvlText w:val="•"/>
      <w:lvlJc w:val="left"/>
      <w:pPr>
        <w:tabs>
          <w:tab w:val="num" w:pos="2160"/>
        </w:tabs>
        <w:ind w:left="2160" w:hanging="360"/>
      </w:pPr>
      <w:rPr>
        <w:rFonts w:ascii="Microsoft Sans Serif" w:hAnsi="Microsoft Sans Serif" w:hint="default"/>
      </w:rPr>
    </w:lvl>
    <w:lvl w:ilvl="3" w:tplc="C29A0A7E" w:tentative="1">
      <w:start w:val="1"/>
      <w:numFmt w:val="bullet"/>
      <w:lvlText w:val="•"/>
      <w:lvlJc w:val="left"/>
      <w:pPr>
        <w:tabs>
          <w:tab w:val="num" w:pos="2880"/>
        </w:tabs>
        <w:ind w:left="2880" w:hanging="360"/>
      </w:pPr>
      <w:rPr>
        <w:rFonts w:ascii="Arial" w:hAnsi="Arial" w:hint="default"/>
      </w:rPr>
    </w:lvl>
    <w:lvl w:ilvl="4" w:tplc="E8E06FD0" w:tentative="1">
      <w:start w:val="1"/>
      <w:numFmt w:val="bullet"/>
      <w:lvlText w:val="•"/>
      <w:lvlJc w:val="left"/>
      <w:pPr>
        <w:tabs>
          <w:tab w:val="num" w:pos="3600"/>
        </w:tabs>
        <w:ind w:left="3600" w:hanging="360"/>
      </w:pPr>
      <w:rPr>
        <w:rFonts w:ascii="Arial" w:hAnsi="Arial" w:hint="default"/>
      </w:rPr>
    </w:lvl>
    <w:lvl w:ilvl="5" w:tplc="D9B466D0" w:tentative="1">
      <w:start w:val="1"/>
      <w:numFmt w:val="bullet"/>
      <w:lvlText w:val="•"/>
      <w:lvlJc w:val="left"/>
      <w:pPr>
        <w:tabs>
          <w:tab w:val="num" w:pos="4320"/>
        </w:tabs>
        <w:ind w:left="4320" w:hanging="360"/>
      </w:pPr>
      <w:rPr>
        <w:rFonts w:ascii="Arial" w:hAnsi="Arial" w:hint="default"/>
      </w:rPr>
    </w:lvl>
    <w:lvl w:ilvl="6" w:tplc="A5EAB41A" w:tentative="1">
      <w:start w:val="1"/>
      <w:numFmt w:val="bullet"/>
      <w:lvlText w:val="•"/>
      <w:lvlJc w:val="left"/>
      <w:pPr>
        <w:tabs>
          <w:tab w:val="num" w:pos="5040"/>
        </w:tabs>
        <w:ind w:left="5040" w:hanging="360"/>
      </w:pPr>
      <w:rPr>
        <w:rFonts w:ascii="Arial" w:hAnsi="Arial" w:hint="default"/>
      </w:rPr>
    </w:lvl>
    <w:lvl w:ilvl="7" w:tplc="F38A9352" w:tentative="1">
      <w:start w:val="1"/>
      <w:numFmt w:val="bullet"/>
      <w:lvlText w:val="•"/>
      <w:lvlJc w:val="left"/>
      <w:pPr>
        <w:tabs>
          <w:tab w:val="num" w:pos="5760"/>
        </w:tabs>
        <w:ind w:left="5760" w:hanging="360"/>
      </w:pPr>
      <w:rPr>
        <w:rFonts w:ascii="Arial" w:hAnsi="Arial" w:hint="default"/>
      </w:rPr>
    </w:lvl>
    <w:lvl w:ilvl="8" w:tplc="409033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2B2AB9"/>
    <w:multiLevelType w:val="hybridMultilevel"/>
    <w:tmpl w:val="8AA2E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3"/>
  </w:num>
  <w:num w:numId="5">
    <w:abstractNumId w:val="25"/>
  </w:num>
  <w:num w:numId="6">
    <w:abstractNumId w:val="27"/>
  </w:num>
  <w:num w:numId="7">
    <w:abstractNumId w:val="29"/>
  </w:num>
  <w:num w:numId="8">
    <w:abstractNumId w:val="4"/>
  </w:num>
  <w:num w:numId="9">
    <w:abstractNumId w:val="15"/>
  </w:num>
  <w:num w:numId="10">
    <w:abstractNumId w:val="20"/>
  </w:num>
  <w:num w:numId="11">
    <w:abstractNumId w:val="5"/>
  </w:num>
  <w:num w:numId="12">
    <w:abstractNumId w:val="12"/>
  </w:num>
  <w:num w:numId="13">
    <w:abstractNumId w:val="28"/>
  </w:num>
  <w:num w:numId="14">
    <w:abstractNumId w:val="7"/>
  </w:num>
  <w:num w:numId="15">
    <w:abstractNumId w:val="24"/>
  </w:num>
  <w:num w:numId="16">
    <w:abstractNumId w:val="26"/>
  </w:num>
  <w:num w:numId="17">
    <w:abstractNumId w:val="17"/>
  </w:num>
  <w:num w:numId="18">
    <w:abstractNumId w:val="14"/>
  </w:num>
  <w:num w:numId="19">
    <w:abstractNumId w:val="13"/>
    <w:lvlOverride w:ilvl="0">
      <w:startOverride w:val="1"/>
    </w:lvlOverride>
  </w:num>
  <w:num w:numId="20">
    <w:abstractNumId w:val="9"/>
  </w:num>
  <w:num w:numId="21">
    <w:abstractNumId w:val="2"/>
  </w:num>
  <w:num w:numId="22">
    <w:abstractNumId w:val="30"/>
  </w:num>
  <w:num w:numId="23">
    <w:abstractNumId w:val="21"/>
  </w:num>
  <w:num w:numId="24">
    <w:abstractNumId w:val="31"/>
  </w:num>
  <w:num w:numId="25">
    <w:abstractNumId w:val="8"/>
  </w:num>
  <w:num w:numId="26">
    <w:abstractNumId w:val="18"/>
  </w:num>
  <w:num w:numId="27">
    <w:abstractNumId w:val="16"/>
  </w:num>
  <w:num w:numId="28">
    <w:abstractNumId w:val="11"/>
  </w:num>
  <w:num w:numId="29">
    <w:abstractNumId w:val="19"/>
  </w:num>
  <w:num w:numId="30">
    <w:abstractNumId w:val="23"/>
  </w:num>
  <w:num w:numId="31">
    <w:abstractNumId w:val="6"/>
  </w:num>
  <w:num w:numId="32">
    <w:abstractNumId w:val="1"/>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79B"/>
    <w:rsid w:val="0000083F"/>
    <w:rsid w:val="000009BE"/>
    <w:rsid w:val="00000B64"/>
    <w:rsid w:val="00000C01"/>
    <w:rsid w:val="00000C77"/>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0A"/>
    <w:rsid w:val="000051CF"/>
    <w:rsid w:val="000051F0"/>
    <w:rsid w:val="00005269"/>
    <w:rsid w:val="00005499"/>
    <w:rsid w:val="0000553B"/>
    <w:rsid w:val="00005F69"/>
    <w:rsid w:val="00005F7B"/>
    <w:rsid w:val="000062D2"/>
    <w:rsid w:val="000063BC"/>
    <w:rsid w:val="000066F3"/>
    <w:rsid w:val="00006780"/>
    <w:rsid w:val="000068BC"/>
    <w:rsid w:val="00006C06"/>
    <w:rsid w:val="00006C7A"/>
    <w:rsid w:val="00006F06"/>
    <w:rsid w:val="00006F0C"/>
    <w:rsid w:val="00006FA9"/>
    <w:rsid w:val="0000739C"/>
    <w:rsid w:val="00007495"/>
    <w:rsid w:val="00007559"/>
    <w:rsid w:val="0000762C"/>
    <w:rsid w:val="0000773C"/>
    <w:rsid w:val="0000788F"/>
    <w:rsid w:val="000078B8"/>
    <w:rsid w:val="0000792C"/>
    <w:rsid w:val="00007948"/>
    <w:rsid w:val="00007ACF"/>
    <w:rsid w:val="00007B4B"/>
    <w:rsid w:val="00007D2E"/>
    <w:rsid w:val="00010182"/>
    <w:rsid w:val="000101EF"/>
    <w:rsid w:val="000104A9"/>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213E"/>
    <w:rsid w:val="0001226C"/>
    <w:rsid w:val="00012296"/>
    <w:rsid w:val="000124D1"/>
    <w:rsid w:val="000127C7"/>
    <w:rsid w:val="00012BAF"/>
    <w:rsid w:val="00012D57"/>
    <w:rsid w:val="00012F33"/>
    <w:rsid w:val="0001321B"/>
    <w:rsid w:val="0001327E"/>
    <w:rsid w:val="00013353"/>
    <w:rsid w:val="000137B1"/>
    <w:rsid w:val="000137BA"/>
    <w:rsid w:val="0001386C"/>
    <w:rsid w:val="00013B63"/>
    <w:rsid w:val="00013C75"/>
    <w:rsid w:val="00013F64"/>
    <w:rsid w:val="00014161"/>
    <w:rsid w:val="000141F0"/>
    <w:rsid w:val="00014320"/>
    <w:rsid w:val="00014631"/>
    <w:rsid w:val="00014E0E"/>
    <w:rsid w:val="00015042"/>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1D"/>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6E1"/>
    <w:rsid w:val="0002299C"/>
    <w:rsid w:val="00022D06"/>
    <w:rsid w:val="00022D74"/>
    <w:rsid w:val="00022EF0"/>
    <w:rsid w:val="000230AF"/>
    <w:rsid w:val="00023164"/>
    <w:rsid w:val="0002323E"/>
    <w:rsid w:val="000233F1"/>
    <w:rsid w:val="000233F4"/>
    <w:rsid w:val="00023BB0"/>
    <w:rsid w:val="00023C29"/>
    <w:rsid w:val="00023CE0"/>
    <w:rsid w:val="00023E59"/>
    <w:rsid w:val="00023E95"/>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D56"/>
    <w:rsid w:val="00027EDE"/>
    <w:rsid w:val="00027F16"/>
    <w:rsid w:val="000300FE"/>
    <w:rsid w:val="00030272"/>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965"/>
    <w:rsid w:val="00033AFC"/>
    <w:rsid w:val="00033CA9"/>
    <w:rsid w:val="00033CE8"/>
    <w:rsid w:val="00033DEB"/>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0E3"/>
    <w:rsid w:val="00044225"/>
    <w:rsid w:val="00044576"/>
    <w:rsid w:val="00044872"/>
    <w:rsid w:val="0004494B"/>
    <w:rsid w:val="00044AE0"/>
    <w:rsid w:val="00044AE3"/>
    <w:rsid w:val="00044B36"/>
    <w:rsid w:val="00044C80"/>
    <w:rsid w:val="00044DBF"/>
    <w:rsid w:val="00044E0F"/>
    <w:rsid w:val="00044F4F"/>
    <w:rsid w:val="00044FC4"/>
    <w:rsid w:val="000451E5"/>
    <w:rsid w:val="000452D6"/>
    <w:rsid w:val="000453F6"/>
    <w:rsid w:val="000454E5"/>
    <w:rsid w:val="0004556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096"/>
    <w:rsid w:val="000472F3"/>
    <w:rsid w:val="00047383"/>
    <w:rsid w:val="00047449"/>
    <w:rsid w:val="0004769C"/>
    <w:rsid w:val="0004776B"/>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1C46"/>
    <w:rsid w:val="0005201C"/>
    <w:rsid w:val="0005241E"/>
    <w:rsid w:val="00052488"/>
    <w:rsid w:val="000524BA"/>
    <w:rsid w:val="000525B8"/>
    <w:rsid w:val="000525FD"/>
    <w:rsid w:val="000527AA"/>
    <w:rsid w:val="0005289E"/>
    <w:rsid w:val="0005291A"/>
    <w:rsid w:val="00052AE3"/>
    <w:rsid w:val="00052B96"/>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D12"/>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250"/>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C67"/>
    <w:rsid w:val="00060F2D"/>
    <w:rsid w:val="00060FDB"/>
    <w:rsid w:val="0006106F"/>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884"/>
    <w:rsid w:val="000639E0"/>
    <w:rsid w:val="00063C68"/>
    <w:rsid w:val="00063F57"/>
    <w:rsid w:val="000644E4"/>
    <w:rsid w:val="00064547"/>
    <w:rsid w:val="000646C9"/>
    <w:rsid w:val="0006480B"/>
    <w:rsid w:val="00064A2B"/>
    <w:rsid w:val="00064B46"/>
    <w:rsid w:val="00064C34"/>
    <w:rsid w:val="00064DDE"/>
    <w:rsid w:val="00065016"/>
    <w:rsid w:val="00065031"/>
    <w:rsid w:val="0006515E"/>
    <w:rsid w:val="0006549C"/>
    <w:rsid w:val="0006550F"/>
    <w:rsid w:val="00065580"/>
    <w:rsid w:val="00065593"/>
    <w:rsid w:val="000655C8"/>
    <w:rsid w:val="0006571D"/>
    <w:rsid w:val="000659DD"/>
    <w:rsid w:val="00065ADC"/>
    <w:rsid w:val="00065B57"/>
    <w:rsid w:val="00065BB9"/>
    <w:rsid w:val="00065C9D"/>
    <w:rsid w:val="00065D64"/>
    <w:rsid w:val="00065E53"/>
    <w:rsid w:val="00066173"/>
    <w:rsid w:val="00066424"/>
    <w:rsid w:val="000667D1"/>
    <w:rsid w:val="0006698C"/>
    <w:rsid w:val="00066A94"/>
    <w:rsid w:val="00066AC9"/>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0F6B"/>
    <w:rsid w:val="0007118F"/>
    <w:rsid w:val="000711C1"/>
    <w:rsid w:val="00071430"/>
    <w:rsid w:val="00071522"/>
    <w:rsid w:val="000715E9"/>
    <w:rsid w:val="0007162A"/>
    <w:rsid w:val="000716FB"/>
    <w:rsid w:val="00071740"/>
    <w:rsid w:val="0007177B"/>
    <w:rsid w:val="000719E7"/>
    <w:rsid w:val="00071CF1"/>
    <w:rsid w:val="00071EE1"/>
    <w:rsid w:val="00071FD0"/>
    <w:rsid w:val="000721EC"/>
    <w:rsid w:val="00072326"/>
    <w:rsid w:val="00072638"/>
    <w:rsid w:val="00072C3A"/>
    <w:rsid w:val="00072CB5"/>
    <w:rsid w:val="00072E1B"/>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45F"/>
    <w:rsid w:val="000744CE"/>
    <w:rsid w:val="0007475B"/>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7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C11"/>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BA8"/>
    <w:rsid w:val="00085F08"/>
    <w:rsid w:val="000860A2"/>
    <w:rsid w:val="000862BA"/>
    <w:rsid w:val="000862F6"/>
    <w:rsid w:val="00086530"/>
    <w:rsid w:val="000868B5"/>
    <w:rsid w:val="00086936"/>
    <w:rsid w:val="00086ADD"/>
    <w:rsid w:val="00086B50"/>
    <w:rsid w:val="00086B78"/>
    <w:rsid w:val="00086C4D"/>
    <w:rsid w:val="00086C82"/>
    <w:rsid w:val="00086EF0"/>
    <w:rsid w:val="000870F8"/>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CE4"/>
    <w:rsid w:val="00091DA6"/>
    <w:rsid w:val="00092108"/>
    <w:rsid w:val="000921D6"/>
    <w:rsid w:val="000921E3"/>
    <w:rsid w:val="000923A0"/>
    <w:rsid w:val="000924F2"/>
    <w:rsid w:val="0009267A"/>
    <w:rsid w:val="00092960"/>
    <w:rsid w:val="00092987"/>
    <w:rsid w:val="00092A3D"/>
    <w:rsid w:val="00092BEA"/>
    <w:rsid w:val="00092EE1"/>
    <w:rsid w:val="00092F03"/>
    <w:rsid w:val="00092FDF"/>
    <w:rsid w:val="000931C3"/>
    <w:rsid w:val="000933F8"/>
    <w:rsid w:val="00093566"/>
    <w:rsid w:val="000936EF"/>
    <w:rsid w:val="00093739"/>
    <w:rsid w:val="00093CF6"/>
    <w:rsid w:val="00093E0C"/>
    <w:rsid w:val="00093EF0"/>
    <w:rsid w:val="00093F75"/>
    <w:rsid w:val="00094031"/>
    <w:rsid w:val="00094179"/>
    <w:rsid w:val="0009437A"/>
    <w:rsid w:val="00094489"/>
    <w:rsid w:val="0009448B"/>
    <w:rsid w:val="00094627"/>
    <w:rsid w:val="000947B7"/>
    <w:rsid w:val="000947DA"/>
    <w:rsid w:val="00094832"/>
    <w:rsid w:val="00094CD7"/>
    <w:rsid w:val="00094D0A"/>
    <w:rsid w:val="00094E86"/>
    <w:rsid w:val="00094F16"/>
    <w:rsid w:val="0009512D"/>
    <w:rsid w:val="0009532C"/>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0D"/>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084"/>
    <w:rsid w:val="000A128A"/>
    <w:rsid w:val="000A14BC"/>
    <w:rsid w:val="000A1584"/>
    <w:rsid w:val="000A1692"/>
    <w:rsid w:val="000A18E3"/>
    <w:rsid w:val="000A1AD3"/>
    <w:rsid w:val="000A1D49"/>
    <w:rsid w:val="000A1E1C"/>
    <w:rsid w:val="000A1E7B"/>
    <w:rsid w:val="000A1F57"/>
    <w:rsid w:val="000A21AE"/>
    <w:rsid w:val="000A23D2"/>
    <w:rsid w:val="000A23E5"/>
    <w:rsid w:val="000A26E4"/>
    <w:rsid w:val="000A2ADE"/>
    <w:rsid w:val="000A2AED"/>
    <w:rsid w:val="000A2D70"/>
    <w:rsid w:val="000A2DA8"/>
    <w:rsid w:val="000A31F7"/>
    <w:rsid w:val="000A39F2"/>
    <w:rsid w:val="000A3ACB"/>
    <w:rsid w:val="000A44AC"/>
    <w:rsid w:val="000A48F6"/>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C8"/>
    <w:rsid w:val="000A72FC"/>
    <w:rsid w:val="000A7327"/>
    <w:rsid w:val="000A7734"/>
    <w:rsid w:val="000A77E2"/>
    <w:rsid w:val="000A79FE"/>
    <w:rsid w:val="000A7C88"/>
    <w:rsid w:val="000A7C96"/>
    <w:rsid w:val="000A7FBA"/>
    <w:rsid w:val="000A7FBC"/>
    <w:rsid w:val="000B0183"/>
    <w:rsid w:val="000B028D"/>
    <w:rsid w:val="000B0292"/>
    <w:rsid w:val="000B02C2"/>
    <w:rsid w:val="000B0315"/>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130"/>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CB5"/>
    <w:rsid w:val="000B6F56"/>
    <w:rsid w:val="000B71B6"/>
    <w:rsid w:val="000B71CC"/>
    <w:rsid w:val="000B740F"/>
    <w:rsid w:val="000B7424"/>
    <w:rsid w:val="000B748E"/>
    <w:rsid w:val="000B74C3"/>
    <w:rsid w:val="000B757F"/>
    <w:rsid w:val="000B7859"/>
    <w:rsid w:val="000B796F"/>
    <w:rsid w:val="000B7ADE"/>
    <w:rsid w:val="000B7B2B"/>
    <w:rsid w:val="000B7CAF"/>
    <w:rsid w:val="000B7D5E"/>
    <w:rsid w:val="000C0145"/>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DBD"/>
    <w:rsid w:val="000C2187"/>
    <w:rsid w:val="000C240A"/>
    <w:rsid w:val="000C285B"/>
    <w:rsid w:val="000C2931"/>
    <w:rsid w:val="000C2B26"/>
    <w:rsid w:val="000C2D3F"/>
    <w:rsid w:val="000C2DE1"/>
    <w:rsid w:val="000C2E4A"/>
    <w:rsid w:val="000C2E7E"/>
    <w:rsid w:val="000C393F"/>
    <w:rsid w:val="000C3A7D"/>
    <w:rsid w:val="000C3E83"/>
    <w:rsid w:val="000C4065"/>
    <w:rsid w:val="000C4137"/>
    <w:rsid w:val="000C4302"/>
    <w:rsid w:val="000C4538"/>
    <w:rsid w:val="000C45CC"/>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9F8"/>
    <w:rsid w:val="000C6A01"/>
    <w:rsid w:val="000C6C5F"/>
    <w:rsid w:val="000C6E1C"/>
    <w:rsid w:val="000C71D9"/>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4ED"/>
    <w:rsid w:val="000E068C"/>
    <w:rsid w:val="000E08B9"/>
    <w:rsid w:val="000E0D89"/>
    <w:rsid w:val="000E0DC2"/>
    <w:rsid w:val="000E1003"/>
    <w:rsid w:val="000E1009"/>
    <w:rsid w:val="000E14B9"/>
    <w:rsid w:val="000E1547"/>
    <w:rsid w:val="000E164F"/>
    <w:rsid w:val="000E16E4"/>
    <w:rsid w:val="000E1722"/>
    <w:rsid w:val="000E1820"/>
    <w:rsid w:val="000E182B"/>
    <w:rsid w:val="000E1E8E"/>
    <w:rsid w:val="000E2666"/>
    <w:rsid w:val="000E2787"/>
    <w:rsid w:val="000E279B"/>
    <w:rsid w:val="000E288D"/>
    <w:rsid w:val="000E28AC"/>
    <w:rsid w:val="000E28DA"/>
    <w:rsid w:val="000E2A2E"/>
    <w:rsid w:val="000E2C7C"/>
    <w:rsid w:val="000E2D91"/>
    <w:rsid w:val="000E2D9E"/>
    <w:rsid w:val="000E2E29"/>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960"/>
    <w:rsid w:val="000E4B50"/>
    <w:rsid w:val="000E4C9B"/>
    <w:rsid w:val="000E4D01"/>
    <w:rsid w:val="000E4E30"/>
    <w:rsid w:val="000E51F0"/>
    <w:rsid w:val="000E5213"/>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B8B"/>
    <w:rsid w:val="000E7C3A"/>
    <w:rsid w:val="000E7F51"/>
    <w:rsid w:val="000F00D8"/>
    <w:rsid w:val="000F0454"/>
    <w:rsid w:val="000F095B"/>
    <w:rsid w:val="000F0AAF"/>
    <w:rsid w:val="000F1130"/>
    <w:rsid w:val="000F1185"/>
    <w:rsid w:val="000F13C4"/>
    <w:rsid w:val="000F13D7"/>
    <w:rsid w:val="000F17E4"/>
    <w:rsid w:val="000F1878"/>
    <w:rsid w:val="000F1CBA"/>
    <w:rsid w:val="000F1CF3"/>
    <w:rsid w:val="000F1E17"/>
    <w:rsid w:val="000F1F98"/>
    <w:rsid w:val="000F20CD"/>
    <w:rsid w:val="000F23DA"/>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BD5"/>
    <w:rsid w:val="000F4CAF"/>
    <w:rsid w:val="000F4D2F"/>
    <w:rsid w:val="000F4E96"/>
    <w:rsid w:val="000F4F44"/>
    <w:rsid w:val="000F4FA3"/>
    <w:rsid w:val="000F52C0"/>
    <w:rsid w:val="000F53B9"/>
    <w:rsid w:val="000F53CB"/>
    <w:rsid w:val="000F5BB7"/>
    <w:rsid w:val="000F5BF0"/>
    <w:rsid w:val="000F5C7C"/>
    <w:rsid w:val="000F5E40"/>
    <w:rsid w:val="000F5EDD"/>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01"/>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BEE"/>
    <w:rsid w:val="00100C6A"/>
    <w:rsid w:val="00100D41"/>
    <w:rsid w:val="00100D9B"/>
    <w:rsid w:val="0010104F"/>
    <w:rsid w:val="00101081"/>
    <w:rsid w:val="001010D7"/>
    <w:rsid w:val="00101306"/>
    <w:rsid w:val="00101489"/>
    <w:rsid w:val="0010152B"/>
    <w:rsid w:val="0010169C"/>
    <w:rsid w:val="0010173D"/>
    <w:rsid w:val="001017C8"/>
    <w:rsid w:val="00101A0E"/>
    <w:rsid w:val="00101ACE"/>
    <w:rsid w:val="00101CCA"/>
    <w:rsid w:val="00101D6C"/>
    <w:rsid w:val="00102147"/>
    <w:rsid w:val="001021DD"/>
    <w:rsid w:val="001021F1"/>
    <w:rsid w:val="0010229C"/>
    <w:rsid w:val="001022BF"/>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3FE3"/>
    <w:rsid w:val="00104058"/>
    <w:rsid w:val="0010405D"/>
    <w:rsid w:val="001041E7"/>
    <w:rsid w:val="00104228"/>
    <w:rsid w:val="00104446"/>
    <w:rsid w:val="001046F1"/>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1"/>
    <w:rsid w:val="00105655"/>
    <w:rsid w:val="0010568A"/>
    <w:rsid w:val="001056C5"/>
    <w:rsid w:val="001057B5"/>
    <w:rsid w:val="00105820"/>
    <w:rsid w:val="00105A2E"/>
    <w:rsid w:val="00105CEE"/>
    <w:rsid w:val="00105DA1"/>
    <w:rsid w:val="00105E1D"/>
    <w:rsid w:val="00106031"/>
    <w:rsid w:val="00106491"/>
    <w:rsid w:val="0010660E"/>
    <w:rsid w:val="001066CE"/>
    <w:rsid w:val="0010697C"/>
    <w:rsid w:val="00106A95"/>
    <w:rsid w:val="00106CC3"/>
    <w:rsid w:val="00106E7E"/>
    <w:rsid w:val="00106FE3"/>
    <w:rsid w:val="00106FF1"/>
    <w:rsid w:val="001073C9"/>
    <w:rsid w:val="00107533"/>
    <w:rsid w:val="00107952"/>
    <w:rsid w:val="0010795D"/>
    <w:rsid w:val="00107B09"/>
    <w:rsid w:val="00107C57"/>
    <w:rsid w:val="00110165"/>
    <w:rsid w:val="00110282"/>
    <w:rsid w:val="0011028F"/>
    <w:rsid w:val="0011034F"/>
    <w:rsid w:val="001105A2"/>
    <w:rsid w:val="00110851"/>
    <w:rsid w:val="001108AC"/>
    <w:rsid w:val="00110A88"/>
    <w:rsid w:val="00110FB1"/>
    <w:rsid w:val="001111C0"/>
    <w:rsid w:val="0011145F"/>
    <w:rsid w:val="001115C0"/>
    <w:rsid w:val="001115F4"/>
    <w:rsid w:val="00111600"/>
    <w:rsid w:val="001116D2"/>
    <w:rsid w:val="00111702"/>
    <w:rsid w:val="0011179B"/>
    <w:rsid w:val="001117DC"/>
    <w:rsid w:val="0011190B"/>
    <w:rsid w:val="00111AD9"/>
    <w:rsid w:val="00111CD0"/>
    <w:rsid w:val="00111CD5"/>
    <w:rsid w:val="00111E32"/>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20"/>
    <w:rsid w:val="001147B8"/>
    <w:rsid w:val="00114949"/>
    <w:rsid w:val="00114D49"/>
    <w:rsid w:val="00114D75"/>
    <w:rsid w:val="00114E61"/>
    <w:rsid w:val="00114EA7"/>
    <w:rsid w:val="0011536C"/>
    <w:rsid w:val="00115545"/>
    <w:rsid w:val="00115716"/>
    <w:rsid w:val="001157D9"/>
    <w:rsid w:val="0011584C"/>
    <w:rsid w:val="001158D5"/>
    <w:rsid w:val="00115AB7"/>
    <w:rsid w:val="00115EA2"/>
    <w:rsid w:val="00116339"/>
    <w:rsid w:val="001165E9"/>
    <w:rsid w:val="00116661"/>
    <w:rsid w:val="00116988"/>
    <w:rsid w:val="00116A2D"/>
    <w:rsid w:val="00116B1D"/>
    <w:rsid w:val="00116DFA"/>
    <w:rsid w:val="00116F51"/>
    <w:rsid w:val="0011719F"/>
    <w:rsid w:val="00117598"/>
    <w:rsid w:val="001175EF"/>
    <w:rsid w:val="00117677"/>
    <w:rsid w:val="00117957"/>
    <w:rsid w:val="00117C0B"/>
    <w:rsid w:val="00117C78"/>
    <w:rsid w:val="00117CAB"/>
    <w:rsid w:val="001201A2"/>
    <w:rsid w:val="001201EA"/>
    <w:rsid w:val="001203DB"/>
    <w:rsid w:val="001203DF"/>
    <w:rsid w:val="0012041A"/>
    <w:rsid w:val="0012063B"/>
    <w:rsid w:val="0012079F"/>
    <w:rsid w:val="001207F3"/>
    <w:rsid w:val="00120BC8"/>
    <w:rsid w:val="00120C0C"/>
    <w:rsid w:val="00120C13"/>
    <w:rsid w:val="00120C56"/>
    <w:rsid w:val="00121047"/>
    <w:rsid w:val="0012106B"/>
    <w:rsid w:val="0012127A"/>
    <w:rsid w:val="00121321"/>
    <w:rsid w:val="001216F9"/>
    <w:rsid w:val="00121769"/>
    <w:rsid w:val="00121AC6"/>
    <w:rsid w:val="00121E1A"/>
    <w:rsid w:val="00121F60"/>
    <w:rsid w:val="001220F0"/>
    <w:rsid w:val="00122287"/>
    <w:rsid w:val="001222BE"/>
    <w:rsid w:val="00122727"/>
    <w:rsid w:val="00122842"/>
    <w:rsid w:val="00122C42"/>
    <w:rsid w:val="00122CE6"/>
    <w:rsid w:val="00122D3F"/>
    <w:rsid w:val="001232D2"/>
    <w:rsid w:val="0012345C"/>
    <w:rsid w:val="0012346F"/>
    <w:rsid w:val="00123746"/>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41"/>
    <w:rsid w:val="001258ED"/>
    <w:rsid w:val="00125AB1"/>
    <w:rsid w:val="00125C82"/>
    <w:rsid w:val="00125D2E"/>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1C07"/>
    <w:rsid w:val="00131FAA"/>
    <w:rsid w:val="00132096"/>
    <w:rsid w:val="001321CE"/>
    <w:rsid w:val="001322B0"/>
    <w:rsid w:val="00132500"/>
    <w:rsid w:val="00132671"/>
    <w:rsid w:val="00132745"/>
    <w:rsid w:val="00132767"/>
    <w:rsid w:val="00132917"/>
    <w:rsid w:val="00132B51"/>
    <w:rsid w:val="00132BD2"/>
    <w:rsid w:val="00132C90"/>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35E"/>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6DD"/>
    <w:rsid w:val="0014371C"/>
    <w:rsid w:val="0014377A"/>
    <w:rsid w:val="001439A4"/>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4B"/>
    <w:rsid w:val="001454C4"/>
    <w:rsid w:val="001455CB"/>
    <w:rsid w:val="00145B83"/>
    <w:rsid w:val="001460FA"/>
    <w:rsid w:val="001461FD"/>
    <w:rsid w:val="001462D7"/>
    <w:rsid w:val="001464BB"/>
    <w:rsid w:val="001464CC"/>
    <w:rsid w:val="00146577"/>
    <w:rsid w:val="00146773"/>
    <w:rsid w:val="001467B1"/>
    <w:rsid w:val="00146957"/>
    <w:rsid w:val="00146AE1"/>
    <w:rsid w:val="00146ED0"/>
    <w:rsid w:val="0014703E"/>
    <w:rsid w:val="00147044"/>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5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B6"/>
    <w:rsid w:val="001602C2"/>
    <w:rsid w:val="001603B9"/>
    <w:rsid w:val="001603DC"/>
    <w:rsid w:val="001605C1"/>
    <w:rsid w:val="00160622"/>
    <w:rsid w:val="00160674"/>
    <w:rsid w:val="00160786"/>
    <w:rsid w:val="001607A2"/>
    <w:rsid w:val="00160B9D"/>
    <w:rsid w:val="00160C1A"/>
    <w:rsid w:val="00160EDD"/>
    <w:rsid w:val="00160F51"/>
    <w:rsid w:val="00160FCC"/>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99"/>
    <w:rsid w:val="001639BC"/>
    <w:rsid w:val="00163AFC"/>
    <w:rsid w:val="00163BAC"/>
    <w:rsid w:val="00163C5A"/>
    <w:rsid w:val="00163C9A"/>
    <w:rsid w:val="00163FC4"/>
    <w:rsid w:val="001642AB"/>
    <w:rsid w:val="00164526"/>
    <w:rsid w:val="00164646"/>
    <w:rsid w:val="001646F9"/>
    <w:rsid w:val="00164782"/>
    <w:rsid w:val="001647FA"/>
    <w:rsid w:val="0016488F"/>
    <w:rsid w:val="00165137"/>
    <w:rsid w:val="001652DD"/>
    <w:rsid w:val="00165408"/>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794"/>
    <w:rsid w:val="00167BBE"/>
    <w:rsid w:val="00167EDB"/>
    <w:rsid w:val="0017014F"/>
    <w:rsid w:val="0017021A"/>
    <w:rsid w:val="00170397"/>
    <w:rsid w:val="00170482"/>
    <w:rsid w:val="001706E4"/>
    <w:rsid w:val="00170808"/>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79"/>
    <w:rsid w:val="001732CF"/>
    <w:rsid w:val="001738A5"/>
    <w:rsid w:val="00173A00"/>
    <w:rsid w:val="00173D38"/>
    <w:rsid w:val="001742A5"/>
    <w:rsid w:val="00174503"/>
    <w:rsid w:val="00174555"/>
    <w:rsid w:val="001746CB"/>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899"/>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386"/>
    <w:rsid w:val="00181495"/>
    <w:rsid w:val="0018160F"/>
    <w:rsid w:val="001816FF"/>
    <w:rsid w:val="001817BA"/>
    <w:rsid w:val="001819D2"/>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217"/>
    <w:rsid w:val="0018480D"/>
    <w:rsid w:val="001848BF"/>
    <w:rsid w:val="00184A29"/>
    <w:rsid w:val="00184C9F"/>
    <w:rsid w:val="00184DAB"/>
    <w:rsid w:val="00184F51"/>
    <w:rsid w:val="0018501F"/>
    <w:rsid w:val="00185249"/>
    <w:rsid w:val="00185257"/>
    <w:rsid w:val="00185468"/>
    <w:rsid w:val="001854A8"/>
    <w:rsid w:val="0018585B"/>
    <w:rsid w:val="00185967"/>
    <w:rsid w:val="00185968"/>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08"/>
    <w:rsid w:val="00187972"/>
    <w:rsid w:val="00187C6F"/>
    <w:rsid w:val="00187C7A"/>
    <w:rsid w:val="00187D0D"/>
    <w:rsid w:val="0019002A"/>
    <w:rsid w:val="00190296"/>
    <w:rsid w:val="00190838"/>
    <w:rsid w:val="001908C5"/>
    <w:rsid w:val="00190927"/>
    <w:rsid w:val="00190BD5"/>
    <w:rsid w:val="00190C5A"/>
    <w:rsid w:val="00190D28"/>
    <w:rsid w:val="00190F7D"/>
    <w:rsid w:val="00191166"/>
    <w:rsid w:val="0019131B"/>
    <w:rsid w:val="00191445"/>
    <w:rsid w:val="00191593"/>
    <w:rsid w:val="00191727"/>
    <w:rsid w:val="0019181A"/>
    <w:rsid w:val="0019192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4"/>
    <w:rsid w:val="00192DFE"/>
    <w:rsid w:val="00192F82"/>
    <w:rsid w:val="0019340B"/>
    <w:rsid w:val="00193760"/>
    <w:rsid w:val="00193815"/>
    <w:rsid w:val="00193987"/>
    <w:rsid w:val="00193A4E"/>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7AF"/>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4C4"/>
    <w:rsid w:val="001974D8"/>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BB6"/>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D0A"/>
    <w:rsid w:val="001A5D97"/>
    <w:rsid w:val="001A5E0F"/>
    <w:rsid w:val="001A5EBA"/>
    <w:rsid w:val="001A5F29"/>
    <w:rsid w:val="001A6164"/>
    <w:rsid w:val="001A61A0"/>
    <w:rsid w:val="001A61B0"/>
    <w:rsid w:val="001A62F8"/>
    <w:rsid w:val="001A64B2"/>
    <w:rsid w:val="001A66B9"/>
    <w:rsid w:val="001A682E"/>
    <w:rsid w:val="001A6AFE"/>
    <w:rsid w:val="001A6E27"/>
    <w:rsid w:val="001A6E4D"/>
    <w:rsid w:val="001A706D"/>
    <w:rsid w:val="001A716F"/>
    <w:rsid w:val="001A7180"/>
    <w:rsid w:val="001A71EB"/>
    <w:rsid w:val="001A7255"/>
    <w:rsid w:val="001A72B2"/>
    <w:rsid w:val="001A72EE"/>
    <w:rsid w:val="001A7826"/>
    <w:rsid w:val="001A7837"/>
    <w:rsid w:val="001A78EE"/>
    <w:rsid w:val="001A79DA"/>
    <w:rsid w:val="001A7EA8"/>
    <w:rsid w:val="001A7FCC"/>
    <w:rsid w:val="001B00B2"/>
    <w:rsid w:val="001B0149"/>
    <w:rsid w:val="001B01A2"/>
    <w:rsid w:val="001B0251"/>
    <w:rsid w:val="001B029D"/>
    <w:rsid w:val="001B03AB"/>
    <w:rsid w:val="001B0515"/>
    <w:rsid w:val="001B05B3"/>
    <w:rsid w:val="001B0716"/>
    <w:rsid w:val="001B0AD0"/>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4094"/>
    <w:rsid w:val="001B41E4"/>
    <w:rsid w:val="001B4371"/>
    <w:rsid w:val="001B4452"/>
    <w:rsid w:val="001B4787"/>
    <w:rsid w:val="001B4A0F"/>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E36"/>
    <w:rsid w:val="001C12A0"/>
    <w:rsid w:val="001C148B"/>
    <w:rsid w:val="001C16A9"/>
    <w:rsid w:val="001C1729"/>
    <w:rsid w:val="001C17B8"/>
    <w:rsid w:val="001C19EB"/>
    <w:rsid w:val="001C1C35"/>
    <w:rsid w:val="001C1E53"/>
    <w:rsid w:val="001C211D"/>
    <w:rsid w:val="001C2484"/>
    <w:rsid w:val="001C27ED"/>
    <w:rsid w:val="001C2865"/>
    <w:rsid w:val="001C2A8B"/>
    <w:rsid w:val="001C2D79"/>
    <w:rsid w:val="001C2D9B"/>
    <w:rsid w:val="001C312D"/>
    <w:rsid w:val="001C3434"/>
    <w:rsid w:val="001C3474"/>
    <w:rsid w:val="001C3506"/>
    <w:rsid w:val="001C39E9"/>
    <w:rsid w:val="001C3B34"/>
    <w:rsid w:val="001C3B71"/>
    <w:rsid w:val="001C3BA3"/>
    <w:rsid w:val="001C3C3C"/>
    <w:rsid w:val="001C3DC6"/>
    <w:rsid w:val="001C3E02"/>
    <w:rsid w:val="001C3EA5"/>
    <w:rsid w:val="001C4114"/>
    <w:rsid w:val="001C446A"/>
    <w:rsid w:val="001C46FE"/>
    <w:rsid w:val="001C4A39"/>
    <w:rsid w:val="001C4A7F"/>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7C5"/>
    <w:rsid w:val="001D0CB7"/>
    <w:rsid w:val="001D0D95"/>
    <w:rsid w:val="001D0E17"/>
    <w:rsid w:val="001D0EF2"/>
    <w:rsid w:val="001D0FEC"/>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E1"/>
    <w:rsid w:val="001D30A9"/>
    <w:rsid w:val="001D35DC"/>
    <w:rsid w:val="001D3902"/>
    <w:rsid w:val="001D390E"/>
    <w:rsid w:val="001D3E00"/>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1C1"/>
    <w:rsid w:val="001D5484"/>
    <w:rsid w:val="001D55F9"/>
    <w:rsid w:val="001D570A"/>
    <w:rsid w:val="001D57BC"/>
    <w:rsid w:val="001D58C8"/>
    <w:rsid w:val="001D59C1"/>
    <w:rsid w:val="001D5A7E"/>
    <w:rsid w:val="001D5C02"/>
    <w:rsid w:val="001D5E7E"/>
    <w:rsid w:val="001D5FD3"/>
    <w:rsid w:val="001D6382"/>
    <w:rsid w:val="001D6649"/>
    <w:rsid w:val="001D686D"/>
    <w:rsid w:val="001D6C20"/>
    <w:rsid w:val="001D6E61"/>
    <w:rsid w:val="001D6F30"/>
    <w:rsid w:val="001D7019"/>
    <w:rsid w:val="001D721B"/>
    <w:rsid w:val="001D7260"/>
    <w:rsid w:val="001D733C"/>
    <w:rsid w:val="001D751A"/>
    <w:rsid w:val="001D7744"/>
    <w:rsid w:val="001D7816"/>
    <w:rsid w:val="001D7898"/>
    <w:rsid w:val="001D78D5"/>
    <w:rsid w:val="001D7A13"/>
    <w:rsid w:val="001D7ADE"/>
    <w:rsid w:val="001D7B58"/>
    <w:rsid w:val="001D7B96"/>
    <w:rsid w:val="001D7ED7"/>
    <w:rsid w:val="001D7FE2"/>
    <w:rsid w:val="001E00D1"/>
    <w:rsid w:val="001E00D4"/>
    <w:rsid w:val="001E052A"/>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1EFA"/>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661"/>
    <w:rsid w:val="001E373B"/>
    <w:rsid w:val="001E3838"/>
    <w:rsid w:val="001E3A45"/>
    <w:rsid w:val="001E3FE1"/>
    <w:rsid w:val="001E420B"/>
    <w:rsid w:val="001E4704"/>
    <w:rsid w:val="001E48CC"/>
    <w:rsid w:val="001E4923"/>
    <w:rsid w:val="001E4FBF"/>
    <w:rsid w:val="001E5036"/>
    <w:rsid w:val="001E52BD"/>
    <w:rsid w:val="001E5390"/>
    <w:rsid w:val="001E5721"/>
    <w:rsid w:val="001E5994"/>
    <w:rsid w:val="001E5A37"/>
    <w:rsid w:val="001E5BB2"/>
    <w:rsid w:val="001E5D1F"/>
    <w:rsid w:val="001E5EBB"/>
    <w:rsid w:val="001E6186"/>
    <w:rsid w:val="001E6199"/>
    <w:rsid w:val="001E62DC"/>
    <w:rsid w:val="001E6313"/>
    <w:rsid w:val="001E6353"/>
    <w:rsid w:val="001E68C5"/>
    <w:rsid w:val="001E6A5B"/>
    <w:rsid w:val="001E6BDA"/>
    <w:rsid w:val="001E6C1B"/>
    <w:rsid w:val="001E6EB3"/>
    <w:rsid w:val="001E6F3C"/>
    <w:rsid w:val="001E704F"/>
    <w:rsid w:val="001E7080"/>
    <w:rsid w:val="001E7173"/>
    <w:rsid w:val="001E719A"/>
    <w:rsid w:val="001E750C"/>
    <w:rsid w:val="001E7781"/>
    <w:rsid w:val="001E7A8F"/>
    <w:rsid w:val="001E7D26"/>
    <w:rsid w:val="001F020C"/>
    <w:rsid w:val="001F0320"/>
    <w:rsid w:val="001F04E5"/>
    <w:rsid w:val="001F0546"/>
    <w:rsid w:val="001F05FC"/>
    <w:rsid w:val="001F0BAF"/>
    <w:rsid w:val="001F0DDF"/>
    <w:rsid w:val="001F1079"/>
    <w:rsid w:val="001F112D"/>
    <w:rsid w:val="001F11F0"/>
    <w:rsid w:val="001F18C3"/>
    <w:rsid w:val="001F18E2"/>
    <w:rsid w:val="001F1991"/>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844"/>
    <w:rsid w:val="001F39AB"/>
    <w:rsid w:val="001F3D53"/>
    <w:rsid w:val="001F3E14"/>
    <w:rsid w:val="001F3E90"/>
    <w:rsid w:val="001F3F52"/>
    <w:rsid w:val="001F4331"/>
    <w:rsid w:val="001F45E8"/>
    <w:rsid w:val="001F4650"/>
    <w:rsid w:val="001F4817"/>
    <w:rsid w:val="001F4858"/>
    <w:rsid w:val="001F4BAF"/>
    <w:rsid w:val="001F4CBF"/>
    <w:rsid w:val="001F4E57"/>
    <w:rsid w:val="001F50E0"/>
    <w:rsid w:val="001F5106"/>
    <w:rsid w:val="001F5128"/>
    <w:rsid w:val="001F5172"/>
    <w:rsid w:val="001F5181"/>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445"/>
    <w:rsid w:val="0020053B"/>
    <w:rsid w:val="0020054C"/>
    <w:rsid w:val="0020087C"/>
    <w:rsid w:val="00200A92"/>
    <w:rsid w:val="00200B1D"/>
    <w:rsid w:val="00200B81"/>
    <w:rsid w:val="00200BF9"/>
    <w:rsid w:val="00200CC2"/>
    <w:rsid w:val="00200D35"/>
    <w:rsid w:val="00200E10"/>
    <w:rsid w:val="00200ECD"/>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5D"/>
    <w:rsid w:val="002047DE"/>
    <w:rsid w:val="0020486B"/>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8B4"/>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CFE"/>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71A"/>
    <w:rsid w:val="00211D31"/>
    <w:rsid w:val="00211DD9"/>
    <w:rsid w:val="00211E2F"/>
    <w:rsid w:val="002120A5"/>
    <w:rsid w:val="002120D3"/>
    <w:rsid w:val="002121C0"/>
    <w:rsid w:val="002123B0"/>
    <w:rsid w:val="00212444"/>
    <w:rsid w:val="002124A6"/>
    <w:rsid w:val="0021273A"/>
    <w:rsid w:val="00212816"/>
    <w:rsid w:val="00212C69"/>
    <w:rsid w:val="00212CA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A0F"/>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E6"/>
    <w:rsid w:val="00221EA5"/>
    <w:rsid w:val="00221F85"/>
    <w:rsid w:val="00222052"/>
    <w:rsid w:val="002221D4"/>
    <w:rsid w:val="002222A4"/>
    <w:rsid w:val="002222F1"/>
    <w:rsid w:val="0022232E"/>
    <w:rsid w:val="0022256D"/>
    <w:rsid w:val="0022290C"/>
    <w:rsid w:val="002229D2"/>
    <w:rsid w:val="00222AB8"/>
    <w:rsid w:val="00222B25"/>
    <w:rsid w:val="00222C0A"/>
    <w:rsid w:val="00222FE7"/>
    <w:rsid w:val="00223111"/>
    <w:rsid w:val="002231E7"/>
    <w:rsid w:val="002234BE"/>
    <w:rsid w:val="002235DF"/>
    <w:rsid w:val="00223833"/>
    <w:rsid w:val="00223851"/>
    <w:rsid w:val="00223A04"/>
    <w:rsid w:val="00223ACD"/>
    <w:rsid w:val="002243BC"/>
    <w:rsid w:val="00224471"/>
    <w:rsid w:val="0022474F"/>
    <w:rsid w:val="0022488D"/>
    <w:rsid w:val="002248F9"/>
    <w:rsid w:val="00224A38"/>
    <w:rsid w:val="00224A9B"/>
    <w:rsid w:val="00224EB8"/>
    <w:rsid w:val="00225043"/>
    <w:rsid w:val="002254F6"/>
    <w:rsid w:val="00225617"/>
    <w:rsid w:val="00225A0E"/>
    <w:rsid w:val="00225A83"/>
    <w:rsid w:val="00225C79"/>
    <w:rsid w:val="00225D1F"/>
    <w:rsid w:val="00225DC1"/>
    <w:rsid w:val="00225EE2"/>
    <w:rsid w:val="002262A2"/>
    <w:rsid w:val="002262B0"/>
    <w:rsid w:val="00226442"/>
    <w:rsid w:val="00226467"/>
    <w:rsid w:val="0022657F"/>
    <w:rsid w:val="00226742"/>
    <w:rsid w:val="0022679C"/>
    <w:rsid w:val="002268A2"/>
    <w:rsid w:val="002269A7"/>
    <w:rsid w:val="00226A4A"/>
    <w:rsid w:val="00226A52"/>
    <w:rsid w:val="00226AE0"/>
    <w:rsid w:val="00226B3A"/>
    <w:rsid w:val="00226BD3"/>
    <w:rsid w:val="00226D75"/>
    <w:rsid w:val="00227261"/>
    <w:rsid w:val="0022735A"/>
    <w:rsid w:val="0022743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780"/>
    <w:rsid w:val="00236A2E"/>
    <w:rsid w:val="00236DD4"/>
    <w:rsid w:val="00236F71"/>
    <w:rsid w:val="00236F88"/>
    <w:rsid w:val="002373FC"/>
    <w:rsid w:val="00237492"/>
    <w:rsid w:val="002374A7"/>
    <w:rsid w:val="00237605"/>
    <w:rsid w:val="0023763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AE"/>
    <w:rsid w:val="00241711"/>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45A"/>
    <w:rsid w:val="002444D3"/>
    <w:rsid w:val="00244606"/>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668"/>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644"/>
    <w:rsid w:val="00255DA7"/>
    <w:rsid w:val="00255F8C"/>
    <w:rsid w:val="002564E6"/>
    <w:rsid w:val="00256572"/>
    <w:rsid w:val="002568D7"/>
    <w:rsid w:val="00256A58"/>
    <w:rsid w:val="00256B22"/>
    <w:rsid w:val="00256C7F"/>
    <w:rsid w:val="00256D51"/>
    <w:rsid w:val="00256F02"/>
    <w:rsid w:val="00256F93"/>
    <w:rsid w:val="00257034"/>
    <w:rsid w:val="00257045"/>
    <w:rsid w:val="002571C0"/>
    <w:rsid w:val="002571C8"/>
    <w:rsid w:val="002572F1"/>
    <w:rsid w:val="00257537"/>
    <w:rsid w:val="0025773F"/>
    <w:rsid w:val="00257A62"/>
    <w:rsid w:val="00257D2A"/>
    <w:rsid w:val="00257F66"/>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06A"/>
    <w:rsid w:val="0026211D"/>
    <w:rsid w:val="002622A9"/>
    <w:rsid w:val="00262354"/>
    <w:rsid w:val="002623AC"/>
    <w:rsid w:val="0026242C"/>
    <w:rsid w:val="002625F1"/>
    <w:rsid w:val="002628B6"/>
    <w:rsid w:val="00262979"/>
    <w:rsid w:val="00262E50"/>
    <w:rsid w:val="00263038"/>
    <w:rsid w:val="002631DC"/>
    <w:rsid w:val="00263229"/>
    <w:rsid w:val="002633EA"/>
    <w:rsid w:val="00263627"/>
    <w:rsid w:val="0026382D"/>
    <w:rsid w:val="0026385F"/>
    <w:rsid w:val="00263909"/>
    <w:rsid w:val="00263967"/>
    <w:rsid w:val="00263DB2"/>
    <w:rsid w:val="00263DD9"/>
    <w:rsid w:val="00263E09"/>
    <w:rsid w:val="00264256"/>
    <w:rsid w:val="0026426C"/>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CF1"/>
    <w:rsid w:val="00265E9A"/>
    <w:rsid w:val="00266111"/>
    <w:rsid w:val="0026613D"/>
    <w:rsid w:val="002661E1"/>
    <w:rsid w:val="002661E3"/>
    <w:rsid w:val="00266210"/>
    <w:rsid w:val="00266333"/>
    <w:rsid w:val="002664FA"/>
    <w:rsid w:val="00266867"/>
    <w:rsid w:val="00266AF8"/>
    <w:rsid w:val="00266B56"/>
    <w:rsid w:val="00266DC7"/>
    <w:rsid w:val="00266E95"/>
    <w:rsid w:val="0026716C"/>
    <w:rsid w:val="002671F4"/>
    <w:rsid w:val="00267943"/>
    <w:rsid w:val="002700BA"/>
    <w:rsid w:val="0027027E"/>
    <w:rsid w:val="00270449"/>
    <w:rsid w:val="0027053E"/>
    <w:rsid w:val="002705D5"/>
    <w:rsid w:val="002706CC"/>
    <w:rsid w:val="002708D5"/>
    <w:rsid w:val="002708DA"/>
    <w:rsid w:val="00270995"/>
    <w:rsid w:val="002709BE"/>
    <w:rsid w:val="00270A44"/>
    <w:rsid w:val="00270C63"/>
    <w:rsid w:val="00270C73"/>
    <w:rsid w:val="00270C98"/>
    <w:rsid w:val="00270CF1"/>
    <w:rsid w:val="00270D81"/>
    <w:rsid w:val="00270DBD"/>
    <w:rsid w:val="00270E37"/>
    <w:rsid w:val="00270E57"/>
    <w:rsid w:val="00270E89"/>
    <w:rsid w:val="00270F79"/>
    <w:rsid w:val="002710DE"/>
    <w:rsid w:val="00271159"/>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8B9"/>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3F4D"/>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4CA"/>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85"/>
    <w:rsid w:val="00284AE5"/>
    <w:rsid w:val="00284B96"/>
    <w:rsid w:val="00284C7A"/>
    <w:rsid w:val="00284D44"/>
    <w:rsid w:val="00284E7F"/>
    <w:rsid w:val="00284E89"/>
    <w:rsid w:val="00284FB7"/>
    <w:rsid w:val="002850E3"/>
    <w:rsid w:val="0028550D"/>
    <w:rsid w:val="00285520"/>
    <w:rsid w:val="002855FE"/>
    <w:rsid w:val="00285738"/>
    <w:rsid w:val="00285894"/>
    <w:rsid w:val="00285BB8"/>
    <w:rsid w:val="00285C8C"/>
    <w:rsid w:val="00285E28"/>
    <w:rsid w:val="00285EE0"/>
    <w:rsid w:val="0028607F"/>
    <w:rsid w:val="0028639F"/>
    <w:rsid w:val="002863A8"/>
    <w:rsid w:val="00286631"/>
    <w:rsid w:val="00286946"/>
    <w:rsid w:val="002869A3"/>
    <w:rsid w:val="00286D97"/>
    <w:rsid w:val="00286E60"/>
    <w:rsid w:val="00286F76"/>
    <w:rsid w:val="00287347"/>
    <w:rsid w:val="00287376"/>
    <w:rsid w:val="00287433"/>
    <w:rsid w:val="0028764E"/>
    <w:rsid w:val="002877DE"/>
    <w:rsid w:val="00287821"/>
    <w:rsid w:val="00287C28"/>
    <w:rsid w:val="00287C39"/>
    <w:rsid w:val="00287C98"/>
    <w:rsid w:val="002900DB"/>
    <w:rsid w:val="00290254"/>
    <w:rsid w:val="00290A06"/>
    <w:rsid w:val="00290C75"/>
    <w:rsid w:val="00290C83"/>
    <w:rsid w:val="00290D29"/>
    <w:rsid w:val="00291124"/>
    <w:rsid w:val="00291253"/>
    <w:rsid w:val="002912F4"/>
    <w:rsid w:val="0029130D"/>
    <w:rsid w:val="0029141B"/>
    <w:rsid w:val="0029142E"/>
    <w:rsid w:val="002915DA"/>
    <w:rsid w:val="0029178F"/>
    <w:rsid w:val="00291AFC"/>
    <w:rsid w:val="00291C45"/>
    <w:rsid w:val="00291E58"/>
    <w:rsid w:val="00291F5A"/>
    <w:rsid w:val="00292008"/>
    <w:rsid w:val="00292540"/>
    <w:rsid w:val="0029269D"/>
    <w:rsid w:val="0029279E"/>
    <w:rsid w:val="00292993"/>
    <w:rsid w:val="002929B0"/>
    <w:rsid w:val="00292E78"/>
    <w:rsid w:val="002930AE"/>
    <w:rsid w:val="002930AF"/>
    <w:rsid w:val="0029317F"/>
    <w:rsid w:val="002933CD"/>
    <w:rsid w:val="00293504"/>
    <w:rsid w:val="00293569"/>
    <w:rsid w:val="0029370A"/>
    <w:rsid w:val="002938A5"/>
    <w:rsid w:val="00293A97"/>
    <w:rsid w:val="00293C13"/>
    <w:rsid w:val="00293C49"/>
    <w:rsid w:val="00293EC2"/>
    <w:rsid w:val="002941DB"/>
    <w:rsid w:val="00294266"/>
    <w:rsid w:val="00294273"/>
    <w:rsid w:val="002944B9"/>
    <w:rsid w:val="002944CA"/>
    <w:rsid w:val="00294500"/>
    <w:rsid w:val="00294504"/>
    <w:rsid w:val="002945D3"/>
    <w:rsid w:val="002946C4"/>
    <w:rsid w:val="00294722"/>
    <w:rsid w:val="00294814"/>
    <w:rsid w:val="00294AB1"/>
    <w:rsid w:val="00294B88"/>
    <w:rsid w:val="00294C8C"/>
    <w:rsid w:val="00294CD4"/>
    <w:rsid w:val="00294D9F"/>
    <w:rsid w:val="00294E77"/>
    <w:rsid w:val="00294E90"/>
    <w:rsid w:val="00294EBE"/>
    <w:rsid w:val="00295226"/>
    <w:rsid w:val="0029527C"/>
    <w:rsid w:val="002953CE"/>
    <w:rsid w:val="002953D0"/>
    <w:rsid w:val="00295413"/>
    <w:rsid w:val="00295517"/>
    <w:rsid w:val="00295C00"/>
    <w:rsid w:val="00295C87"/>
    <w:rsid w:val="00295D32"/>
    <w:rsid w:val="00295D5F"/>
    <w:rsid w:val="00295E32"/>
    <w:rsid w:val="00295F1C"/>
    <w:rsid w:val="00295FC9"/>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65D"/>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916"/>
    <w:rsid w:val="002A1978"/>
    <w:rsid w:val="002A1997"/>
    <w:rsid w:val="002A1A57"/>
    <w:rsid w:val="002A1BB2"/>
    <w:rsid w:val="002A1C7D"/>
    <w:rsid w:val="002A1DA1"/>
    <w:rsid w:val="002A205B"/>
    <w:rsid w:val="002A209D"/>
    <w:rsid w:val="002A20B1"/>
    <w:rsid w:val="002A20E5"/>
    <w:rsid w:val="002A2284"/>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7FD"/>
    <w:rsid w:val="002A4918"/>
    <w:rsid w:val="002A4A3B"/>
    <w:rsid w:val="002A4ABD"/>
    <w:rsid w:val="002A4B7D"/>
    <w:rsid w:val="002A4D90"/>
    <w:rsid w:val="002A4E20"/>
    <w:rsid w:val="002A4FAF"/>
    <w:rsid w:val="002A523D"/>
    <w:rsid w:val="002A52AB"/>
    <w:rsid w:val="002A52C2"/>
    <w:rsid w:val="002A546D"/>
    <w:rsid w:val="002A557C"/>
    <w:rsid w:val="002A5623"/>
    <w:rsid w:val="002A5859"/>
    <w:rsid w:val="002A5887"/>
    <w:rsid w:val="002A5FC1"/>
    <w:rsid w:val="002A601D"/>
    <w:rsid w:val="002A633D"/>
    <w:rsid w:val="002A647A"/>
    <w:rsid w:val="002A6559"/>
    <w:rsid w:val="002A665B"/>
    <w:rsid w:val="002A687B"/>
    <w:rsid w:val="002A6EF8"/>
    <w:rsid w:val="002A7180"/>
    <w:rsid w:val="002A732C"/>
    <w:rsid w:val="002A7446"/>
    <w:rsid w:val="002A761C"/>
    <w:rsid w:val="002A7757"/>
    <w:rsid w:val="002A77C6"/>
    <w:rsid w:val="002A7A6A"/>
    <w:rsid w:val="002A7AA7"/>
    <w:rsid w:val="002A7AB4"/>
    <w:rsid w:val="002A7AE1"/>
    <w:rsid w:val="002A7C20"/>
    <w:rsid w:val="002A7DE4"/>
    <w:rsid w:val="002A7E7D"/>
    <w:rsid w:val="002B007E"/>
    <w:rsid w:val="002B00BD"/>
    <w:rsid w:val="002B053A"/>
    <w:rsid w:val="002B06A8"/>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BC"/>
    <w:rsid w:val="002B340B"/>
    <w:rsid w:val="002B34AE"/>
    <w:rsid w:val="002B3CF9"/>
    <w:rsid w:val="002B3D90"/>
    <w:rsid w:val="002B428E"/>
    <w:rsid w:val="002B4293"/>
    <w:rsid w:val="002B43D6"/>
    <w:rsid w:val="002B453B"/>
    <w:rsid w:val="002B4924"/>
    <w:rsid w:val="002B4C39"/>
    <w:rsid w:val="002B4CD6"/>
    <w:rsid w:val="002B4E49"/>
    <w:rsid w:val="002B50A1"/>
    <w:rsid w:val="002B51FC"/>
    <w:rsid w:val="002B54A6"/>
    <w:rsid w:val="002B5574"/>
    <w:rsid w:val="002B5B05"/>
    <w:rsid w:val="002B5DB3"/>
    <w:rsid w:val="002B5DD8"/>
    <w:rsid w:val="002B5F09"/>
    <w:rsid w:val="002B601A"/>
    <w:rsid w:val="002B603D"/>
    <w:rsid w:val="002B6164"/>
    <w:rsid w:val="002B61F1"/>
    <w:rsid w:val="002B64FE"/>
    <w:rsid w:val="002B6835"/>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348"/>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1CD4"/>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314"/>
    <w:rsid w:val="002D4326"/>
    <w:rsid w:val="002D4591"/>
    <w:rsid w:val="002D48B8"/>
    <w:rsid w:val="002D4997"/>
    <w:rsid w:val="002D4A54"/>
    <w:rsid w:val="002D4C87"/>
    <w:rsid w:val="002D4D59"/>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A63"/>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0C1"/>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77"/>
    <w:rsid w:val="002F5D83"/>
    <w:rsid w:val="002F5FDA"/>
    <w:rsid w:val="002F63ED"/>
    <w:rsid w:val="002F677C"/>
    <w:rsid w:val="002F691B"/>
    <w:rsid w:val="002F6AC6"/>
    <w:rsid w:val="002F6B90"/>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D6A"/>
    <w:rsid w:val="00300E22"/>
    <w:rsid w:val="00300E5F"/>
    <w:rsid w:val="0030114A"/>
    <w:rsid w:val="003011C0"/>
    <w:rsid w:val="0030129E"/>
    <w:rsid w:val="00301686"/>
    <w:rsid w:val="00301710"/>
    <w:rsid w:val="0030175C"/>
    <w:rsid w:val="00301848"/>
    <w:rsid w:val="003019DE"/>
    <w:rsid w:val="00301CAA"/>
    <w:rsid w:val="00301DA6"/>
    <w:rsid w:val="00301DF8"/>
    <w:rsid w:val="00301DFC"/>
    <w:rsid w:val="00301EE4"/>
    <w:rsid w:val="00302047"/>
    <w:rsid w:val="003024DE"/>
    <w:rsid w:val="003024E6"/>
    <w:rsid w:val="00302559"/>
    <w:rsid w:val="0030255B"/>
    <w:rsid w:val="00302701"/>
    <w:rsid w:val="00302739"/>
    <w:rsid w:val="00302887"/>
    <w:rsid w:val="00302909"/>
    <w:rsid w:val="00302967"/>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FF3"/>
    <w:rsid w:val="0030615E"/>
    <w:rsid w:val="003065FB"/>
    <w:rsid w:val="003066DC"/>
    <w:rsid w:val="003066E9"/>
    <w:rsid w:val="003068DD"/>
    <w:rsid w:val="003069F9"/>
    <w:rsid w:val="00306AF9"/>
    <w:rsid w:val="00306ED2"/>
    <w:rsid w:val="00306EE9"/>
    <w:rsid w:val="00306F0A"/>
    <w:rsid w:val="00306F0D"/>
    <w:rsid w:val="00306F89"/>
    <w:rsid w:val="003071B3"/>
    <w:rsid w:val="00307439"/>
    <w:rsid w:val="0030749E"/>
    <w:rsid w:val="003076CD"/>
    <w:rsid w:val="00307A86"/>
    <w:rsid w:val="00307B27"/>
    <w:rsid w:val="00307F28"/>
    <w:rsid w:val="00307F51"/>
    <w:rsid w:val="003101D8"/>
    <w:rsid w:val="003101DC"/>
    <w:rsid w:val="003103FF"/>
    <w:rsid w:val="0031049F"/>
    <w:rsid w:val="0031083B"/>
    <w:rsid w:val="0031087D"/>
    <w:rsid w:val="003108A1"/>
    <w:rsid w:val="003108B9"/>
    <w:rsid w:val="00310958"/>
    <w:rsid w:val="00310978"/>
    <w:rsid w:val="00310A9A"/>
    <w:rsid w:val="00310BA4"/>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43"/>
    <w:rsid w:val="003127E1"/>
    <w:rsid w:val="00312BD0"/>
    <w:rsid w:val="00313428"/>
    <w:rsid w:val="0031343E"/>
    <w:rsid w:val="003134E9"/>
    <w:rsid w:val="00313765"/>
    <w:rsid w:val="003137A0"/>
    <w:rsid w:val="003137F9"/>
    <w:rsid w:val="003138AD"/>
    <w:rsid w:val="00313BC1"/>
    <w:rsid w:val="00313C4F"/>
    <w:rsid w:val="00313E57"/>
    <w:rsid w:val="00313FEF"/>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B5"/>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51E"/>
    <w:rsid w:val="0032662B"/>
    <w:rsid w:val="003267A6"/>
    <w:rsid w:val="00326898"/>
    <w:rsid w:val="003268D6"/>
    <w:rsid w:val="00326B28"/>
    <w:rsid w:val="00326C2E"/>
    <w:rsid w:val="003271E3"/>
    <w:rsid w:val="003272D0"/>
    <w:rsid w:val="003273DE"/>
    <w:rsid w:val="00327601"/>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0E97"/>
    <w:rsid w:val="00331007"/>
    <w:rsid w:val="0033109A"/>
    <w:rsid w:val="00331A93"/>
    <w:rsid w:val="00331B65"/>
    <w:rsid w:val="00331B82"/>
    <w:rsid w:val="00331CB3"/>
    <w:rsid w:val="00331DC1"/>
    <w:rsid w:val="00331FAC"/>
    <w:rsid w:val="0033208A"/>
    <w:rsid w:val="00332123"/>
    <w:rsid w:val="003321C3"/>
    <w:rsid w:val="0033251F"/>
    <w:rsid w:val="0033277B"/>
    <w:rsid w:val="00332783"/>
    <w:rsid w:val="00332962"/>
    <w:rsid w:val="00332AF1"/>
    <w:rsid w:val="00332B5A"/>
    <w:rsid w:val="00332C3D"/>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1CE"/>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72"/>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03"/>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AEA"/>
    <w:rsid w:val="00345D7A"/>
    <w:rsid w:val="00345DEF"/>
    <w:rsid w:val="003461D4"/>
    <w:rsid w:val="00346228"/>
    <w:rsid w:val="003463D6"/>
    <w:rsid w:val="003463E6"/>
    <w:rsid w:val="003464A9"/>
    <w:rsid w:val="00346770"/>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D14"/>
    <w:rsid w:val="00350E35"/>
    <w:rsid w:val="00350EE7"/>
    <w:rsid w:val="0035128F"/>
    <w:rsid w:val="00351307"/>
    <w:rsid w:val="00351355"/>
    <w:rsid w:val="00351367"/>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CAB"/>
    <w:rsid w:val="00354FE6"/>
    <w:rsid w:val="00354FEA"/>
    <w:rsid w:val="0035511C"/>
    <w:rsid w:val="00355263"/>
    <w:rsid w:val="003552C6"/>
    <w:rsid w:val="00355379"/>
    <w:rsid w:val="003553DA"/>
    <w:rsid w:val="003558FD"/>
    <w:rsid w:val="00355935"/>
    <w:rsid w:val="00355A83"/>
    <w:rsid w:val="00355C04"/>
    <w:rsid w:val="00355CC5"/>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0B63"/>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5F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4D59"/>
    <w:rsid w:val="00365023"/>
    <w:rsid w:val="00365137"/>
    <w:rsid w:val="0036515E"/>
    <w:rsid w:val="00365644"/>
    <w:rsid w:val="0036590C"/>
    <w:rsid w:val="00365DB8"/>
    <w:rsid w:val="00366186"/>
    <w:rsid w:val="003661AD"/>
    <w:rsid w:val="003662A1"/>
    <w:rsid w:val="003665C5"/>
    <w:rsid w:val="003667E7"/>
    <w:rsid w:val="00366B3A"/>
    <w:rsid w:val="00366C2B"/>
    <w:rsid w:val="00366C5F"/>
    <w:rsid w:val="00366CE7"/>
    <w:rsid w:val="00366F93"/>
    <w:rsid w:val="00366FC0"/>
    <w:rsid w:val="003677DA"/>
    <w:rsid w:val="00367814"/>
    <w:rsid w:val="003678A6"/>
    <w:rsid w:val="00367BA4"/>
    <w:rsid w:val="00367BC3"/>
    <w:rsid w:val="00367D3A"/>
    <w:rsid w:val="00367DC0"/>
    <w:rsid w:val="00370285"/>
    <w:rsid w:val="003702FC"/>
    <w:rsid w:val="00370483"/>
    <w:rsid w:val="003704EE"/>
    <w:rsid w:val="0037051A"/>
    <w:rsid w:val="00370880"/>
    <w:rsid w:val="00370C86"/>
    <w:rsid w:val="00370EFD"/>
    <w:rsid w:val="00370F82"/>
    <w:rsid w:val="00371130"/>
    <w:rsid w:val="00371137"/>
    <w:rsid w:val="003719F5"/>
    <w:rsid w:val="00371A09"/>
    <w:rsid w:val="00371B8D"/>
    <w:rsid w:val="00371C90"/>
    <w:rsid w:val="00371DB7"/>
    <w:rsid w:val="00372019"/>
    <w:rsid w:val="00372029"/>
    <w:rsid w:val="0037213A"/>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9BD"/>
    <w:rsid w:val="00375A1E"/>
    <w:rsid w:val="00375C6D"/>
    <w:rsid w:val="00375D5C"/>
    <w:rsid w:val="00375FFC"/>
    <w:rsid w:val="00376228"/>
    <w:rsid w:val="00376234"/>
    <w:rsid w:val="003763FE"/>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16F"/>
    <w:rsid w:val="00380237"/>
    <w:rsid w:val="003803D4"/>
    <w:rsid w:val="00380414"/>
    <w:rsid w:val="00380543"/>
    <w:rsid w:val="00380568"/>
    <w:rsid w:val="003805B7"/>
    <w:rsid w:val="00380602"/>
    <w:rsid w:val="00380705"/>
    <w:rsid w:val="00380892"/>
    <w:rsid w:val="00380BBD"/>
    <w:rsid w:val="00380D3A"/>
    <w:rsid w:val="00380D42"/>
    <w:rsid w:val="0038129A"/>
    <w:rsid w:val="00381914"/>
    <w:rsid w:val="00381B03"/>
    <w:rsid w:val="00381E5E"/>
    <w:rsid w:val="00382190"/>
    <w:rsid w:val="003821E7"/>
    <w:rsid w:val="00382304"/>
    <w:rsid w:val="003824B5"/>
    <w:rsid w:val="003826FD"/>
    <w:rsid w:val="00382903"/>
    <w:rsid w:val="00382B79"/>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362"/>
    <w:rsid w:val="003874C9"/>
    <w:rsid w:val="003875A7"/>
    <w:rsid w:val="00387675"/>
    <w:rsid w:val="00387771"/>
    <w:rsid w:val="0038780F"/>
    <w:rsid w:val="00387866"/>
    <w:rsid w:val="00387B2B"/>
    <w:rsid w:val="00387BF5"/>
    <w:rsid w:val="00387F14"/>
    <w:rsid w:val="003901F8"/>
    <w:rsid w:val="00390449"/>
    <w:rsid w:val="003904B1"/>
    <w:rsid w:val="00390509"/>
    <w:rsid w:val="00390536"/>
    <w:rsid w:val="0039078B"/>
    <w:rsid w:val="003907D2"/>
    <w:rsid w:val="00390BDF"/>
    <w:rsid w:val="00390C56"/>
    <w:rsid w:val="0039122C"/>
    <w:rsid w:val="0039124D"/>
    <w:rsid w:val="00391276"/>
    <w:rsid w:val="0039137E"/>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A68"/>
    <w:rsid w:val="00393A69"/>
    <w:rsid w:val="00393B71"/>
    <w:rsid w:val="00393B78"/>
    <w:rsid w:val="00393CA3"/>
    <w:rsid w:val="00393EF8"/>
    <w:rsid w:val="00393F08"/>
    <w:rsid w:val="00393FC8"/>
    <w:rsid w:val="00394356"/>
    <w:rsid w:val="003946B1"/>
    <w:rsid w:val="00394764"/>
    <w:rsid w:val="00394775"/>
    <w:rsid w:val="00394806"/>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7CD"/>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086"/>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B5C"/>
    <w:rsid w:val="003A1BE1"/>
    <w:rsid w:val="003A1C54"/>
    <w:rsid w:val="003A1DD5"/>
    <w:rsid w:val="003A1EA8"/>
    <w:rsid w:val="003A2000"/>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6C"/>
    <w:rsid w:val="003A42BB"/>
    <w:rsid w:val="003A44AA"/>
    <w:rsid w:val="003A4511"/>
    <w:rsid w:val="003A45AC"/>
    <w:rsid w:val="003A45B2"/>
    <w:rsid w:val="003A45FB"/>
    <w:rsid w:val="003A48FC"/>
    <w:rsid w:val="003A4C45"/>
    <w:rsid w:val="003A4E82"/>
    <w:rsid w:val="003A5007"/>
    <w:rsid w:val="003A51AE"/>
    <w:rsid w:val="003A523B"/>
    <w:rsid w:val="003A5650"/>
    <w:rsid w:val="003A57A2"/>
    <w:rsid w:val="003A5865"/>
    <w:rsid w:val="003A590E"/>
    <w:rsid w:val="003A5EC6"/>
    <w:rsid w:val="003A5F48"/>
    <w:rsid w:val="003A5FB3"/>
    <w:rsid w:val="003A6330"/>
    <w:rsid w:val="003A6619"/>
    <w:rsid w:val="003A665D"/>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AE3"/>
    <w:rsid w:val="003B0B4D"/>
    <w:rsid w:val="003B0B5A"/>
    <w:rsid w:val="003B0D66"/>
    <w:rsid w:val="003B0F0A"/>
    <w:rsid w:val="003B10A7"/>
    <w:rsid w:val="003B111E"/>
    <w:rsid w:val="003B1429"/>
    <w:rsid w:val="003B16AF"/>
    <w:rsid w:val="003B1994"/>
    <w:rsid w:val="003B1A94"/>
    <w:rsid w:val="003B1B13"/>
    <w:rsid w:val="003B1E5B"/>
    <w:rsid w:val="003B2058"/>
    <w:rsid w:val="003B2265"/>
    <w:rsid w:val="003B248F"/>
    <w:rsid w:val="003B25A3"/>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5A"/>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E81"/>
    <w:rsid w:val="003B5F43"/>
    <w:rsid w:val="003B6120"/>
    <w:rsid w:val="003B64DC"/>
    <w:rsid w:val="003B6502"/>
    <w:rsid w:val="003B6633"/>
    <w:rsid w:val="003B6806"/>
    <w:rsid w:val="003B6819"/>
    <w:rsid w:val="003B69F5"/>
    <w:rsid w:val="003B6CB3"/>
    <w:rsid w:val="003B6CD6"/>
    <w:rsid w:val="003B6F65"/>
    <w:rsid w:val="003B6FCB"/>
    <w:rsid w:val="003B7020"/>
    <w:rsid w:val="003B70B3"/>
    <w:rsid w:val="003B726B"/>
    <w:rsid w:val="003B7294"/>
    <w:rsid w:val="003B76FE"/>
    <w:rsid w:val="003B775F"/>
    <w:rsid w:val="003B78A6"/>
    <w:rsid w:val="003B7FDA"/>
    <w:rsid w:val="003C0052"/>
    <w:rsid w:val="003C009A"/>
    <w:rsid w:val="003C0261"/>
    <w:rsid w:val="003C02D6"/>
    <w:rsid w:val="003C04BF"/>
    <w:rsid w:val="003C07D7"/>
    <w:rsid w:val="003C07E6"/>
    <w:rsid w:val="003C092B"/>
    <w:rsid w:val="003C0985"/>
    <w:rsid w:val="003C0B7D"/>
    <w:rsid w:val="003C0BFC"/>
    <w:rsid w:val="003C0DA6"/>
    <w:rsid w:val="003C102F"/>
    <w:rsid w:val="003C106B"/>
    <w:rsid w:val="003C10B8"/>
    <w:rsid w:val="003C1578"/>
    <w:rsid w:val="003C1DD7"/>
    <w:rsid w:val="003C1E72"/>
    <w:rsid w:val="003C20A1"/>
    <w:rsid w:val="003C2127"/>
    <w:rsid w:val="003C21F4"/>
    <w:rsid w:val="003C257A"/>
    <w:rsid w:val="003C26E4"/>
    <w:rsid w:val="003C2861"/>
    <w:rsid w:val="003C29B7"/>
    <w:rsid w:val="003C2C9D"/>
    <w:rsid w:val="003C3021"/>
    <w:rsid w:val="003C317A"/>
    <w:rsid w:val="003C3459"/>
    <w:rsid w:val="003C3507"/>
    <w:rsid w:val="003C35C5"/>
    <w:rsid w:val="003C3B73"/>
    <w:rsid w:val="003C3D6E"/>
    <w:rsid w:val="003C3F8B"/>
    <w:rsid w:val="003C4097"/>
    <w:rsid w:val="003C40C4"/>
    <w:rsid w:val="003C412F"/>
    <w:rsid w:val="003C4213"/>
    <w:rsid w:val="003C4250"/>
    <w:rsid w:val="003C436E"/>
    <w:rsid w:val="003C441C"/>
    <w:rsid w:val="003C44DB"/>
    <w:rsid w:val="003C45B5"/>
    <w:rsid w:val="003C46CC"/>
    <w:rsid w:val="003C4802"/>
    <w:rsid w:val="003C48C2"/>
    <w:rsid w:val="003C4932"/>
    <w:rsid w:val="003C4F25"/>
    <w:rsid w:val="003C50AA"/>
    <w:rsid w:val="003C541F"/>
    <w:rsid w:val="003C5719"/>
    <w:rsid w:val="003C5722"/>
    <w:rsid w:val="003C5AC3"/>
    <w:rsid w:val="003C635D"/>
    <w:rsid w:val="003C63FC"/>
    <w:rsid w:val="003C64CD"/>
    <w:rsid w:val="003C6580"/>
    <w:rsid w:val="003C66F3"/>
    <w:rsid w:val="003C674B"/>
    <w:rsid w:val="003C680F"/>
    <w:rsid w:val="003C6CCB"/>
    <w:rsid w:val="003C6DA9"/>
    <w:rsid w:val="003C72ED"/>
    <w:rsid w:val="003C7855"/>
    <w:rsid w:val="003D0026"/>
    <w:rsid w:val="003D006E"/>
    <w:rsid w:val="003D0216"/>
    <w:rsid w:val="003D0240"/>
    <w:rsid w:val="003D0493"/>
    <w:rsid w:val="003D050E"/>
    <w:rsid w:val="003D06A7"/>
    <w:rsid w:val="003D0868"/>
    <w:rsid w:val="003D09DA"/>
    <w:rsid w:val="003D0AF2"/>
    <w:rsid w:val="003D0B23"/>
    <w:rsid w:val="003D0D75"/>
    <w:rsid w:val="003D0F09"/>
    <w:rsid w:val="003D106A"/>
    <w:rsid w:val="003D12F5"/>
    <w:rsid w:val="003D140B"/>
    <w:rsid w:val="003D155C"/>
    <w:rsid w:val="003D1924"/>
    <w:rsid w:val="003D1F11"/>
    <w:rsid w:val="003D1FE1"/>
    <w:rsid w:val="003D22AC"/>
    <w:rsid w:val="003D2339"/>
    <w:rsid w:val="003D251C"/>
    <w:rsid w:val="003D26AA"/>
    <w:rsid w:val="003D26DA"/>
    <w:rsid w:val="003D299A"/>
    <w:rsid w:val="003D2D06"/>
    <w:rsid w:val="003D2E43"/>
    <w:rsid w:val="003D2F6C"/>
    <w:rsid w:val="003D3148"/>
    <w:rsid w:val="003D33A4"/>
    <w:rsid w:val="003D3611"/>
    <w:rsid w:val="003D36E0"/>
    <w:rsid w:val="003D39F4"/>
    <w:rsid w:val="003D3AD8"/>
    <w:rsid w:val="003D3B7E"/>
    <w:rsid w:val="003D3EE3"/>
    <w:rsid w:val="003D3F7A"/>
    <w:rsid w:val="003D4270"/>
    <w:rsid w:val="003D4350"/>
    <w:rsid w:val="003D4373"/>
    <w:rsid w:val="003D4409"/>
    <w:rsid w:val="003D47AB"/>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C4C"/>
    <w:rsid w:val="003E0CD2"/>
    <w:rsid w:val="003E0CE4"/>
    <w:rsid w:val="003E0E0C"/>
    <w:rsid w:val="003E11BA"/>
    <w:rsid w:val="003E15EF"/>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5F1"/>
    <w:rsid w:val="003E5828"/>
    <w:rsid w:val="003E5CD1"/>
    <w:rsid w:val="003E5D7C"/>
    <w:rsid w:val="003E5DFB"/>
    <w:rsid w:val="003E5FEE"/>
    <w:rsid w:val="003E60C1"/>
    <w:rsid w:val="003E61F5"/>
    <w:rsid w:val="003E6239"/>
    <w:rsid w:val="003E6289"/>
    <w:rsid w:val="003E62AF"/>
    <w:rsid w:val="003E653E"/>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F03FA"/>
    <w:rsid w:val="003F0470"/>
    <w:rsid w:val="003F0656"/>
    <w:rsid w:val="003F0663"/>
    <w:rsid w:val="003F073C"/>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88"/>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874"/>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1E7"/>
    <w:rsid w:val="00400427"/>
    <w:rsid w:val="00400615"/>
    <w:rsid w:val="0040068D"/>
    <w:rsid w:val="004006B0"/>
    <w:rsid w:val="00400A50"/>
    <w:rsid w:val="00400B1E"/>
    <w:rsid w:val="00400D86"/>
    <w:rsid w:val="00400DEA"/>
    <w:rsid w:val="004010EF"/>
    <w:rsid w:val="004011FF"/>
    <w:rsid w:val="00401395"/>
    <w:rsid w:val="004017C6"/>
    <w:rsid w:val="00401951"/>
    <w:rsid w:val="00401986"/>
    <w:rsid w:val="00401A0B"/>
    <w:rsid w:val="00401CE6"/>
    <w:rsid w:val="00401FD4"/>
    <w:rsid w:val="004021B5"/>
    <w:rsid w:val="004021E3"/>
    <w:rsid w:val="00402286"/>
    <w:rsid w:val="0040246E"/>
    <w:rsid w:val="004024AB"/>
    <w:rsid w:val="004024B3"/>
    <w:rsid w:val="004029BA"/>
    <w:rsid w:val="00402DC4"/>
    <w:rsid w:val="00402F2C"/>
    <w:rsid w:val="0040303D"/>
    <w:rsid w:val="004034E6"/>
    <w:rsid w:val="004035A7"/>
    <w:rsid w:val="0040379F"/>
    <w:rsid w:val="00403805"/>
    <w:rsid w:val="0040385F"/>
    <w:rsid w:val="00403BBC"/>
    <w:rsid w:val="00403DC5"/>
    <w:rsid w:val="00403F25"/>
    <w:rsid w:val="00404011"/>
    <w:rsid w:val="0040417E"/>
    <w:rsid w:val="004042A7"/>
    <w:rsid w:val="0040495B"/>
    <w:rsid w:val="004049A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7BD"/>
    <w:rsid w:val="004109E1"/>
    <w:rsid w:val="00410C55"/>
    <w:rsid w:val="004110FA"/>
    <w:rsid w:val="00411230"/>
    <w:rsid w:val="004116C3"/>
    <w:rsid w:val="00411868"/>
    <w:rsid w:val="004118C9"/>
    <w:rsid w:val="00411D2B"/>
    <w:rsid w:val="00411D47"/>
    <w:rsid w:val="0041249C"/>
    <w:rsid w:val="0041256E"/>
    <w:rsid w:val="00412614"/>
    <w:rsid w:val="00412630"/>
    <w:rsid w:val="00412697"/>
    <w:rsid w:val="00412C50"/>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A4D"/>
    <w:rsid w:val="00415CB6"/>
    <w:rsid w:val="00415D71"/>
    <w:rsid w:val="00415EB9"/>
    <w:rsid w:val="00416091"/>
    <w:rsid w:val="00416166"/>
    <w:rsid w:val="0041616C"/>
    <w:rsid w:val="00416333"/>
    <w:rsid w:val="0041634C"/>
    <w:rsid w:val="004165BA"/>
    <w:rsid w:val="0041664E"/>
    <w:rsid w:val="004167DE"/>
    <w:rsid w:val="00416A66"/>
    <w:rsid w:val="00416B30"/>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21"/>
    <w:rsid w:val="0042156E"/>
    <w:rsid w:val="00421579"/>
    <w:rsid w:val="00421960"/>
    <w:rsid w:val="00421D70"/>
    <w:rsid w:val="00421DD4"/>
    <w:rsid w:val="00421E05"/>
    <w:rsid w:val="00421E34"/>
    <w:rsid w:val="0042202E"/>
    <w:rsid w:val="004222BF"/>
    <w:rsid w:val="0042248B"/>
    <w:rsid w:val="00422513"/>
    <w:rsid w:val="00422718"/>
    <w:rsid w:val="004229E5"/>
    <w:rsid w:val="00422A01"/>
    <w:rsid w:val="00422AA3"/>
    <w:rsid w:val="00422C8A"/>
    <w:rsid w:val="00422D62"/>
    <w:rsid w:val="00422DB5"/>
    <w:rsid w:val="00422F15"/>
    <w:rsid w:val="004230CA"/>
    <w:rsid w:val="004232D4"/>
    <w:rsid w:val="00423326"/>
    <w:rsid w:val="004234C9"/>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3B8"/>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EFD"/>
    <w:rsid w:val="00431F16"/>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2BB"/>
    <w:rsid w:val="0043452B"/>
    <w:rsid w:val="0043457D"/>
    <w:rsid w:val="00434639"/>
    <w:rsid w:val="004346B3"/>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696"/>
    <w:rsid w:val="00436868"/>
    <w:rsid w:val="0043689F"/>
    <w:rsid w:val="00436A3B"/>
    <w:rsid w:val="00436D7C"/>
    <w:rsid w:val="00436EF6"/>
    <w:rsid w:val="004371AB"/>
    <w:rsid w:val="00437457"/>
    <w:rsid w:val="0043745E"/>
    <w:rsid w:val="00437567"/>
    <w:rsid w:val="004375F7"/>
    <w:rsid w:val="00437773"/>
    <w:rsid w:val="00437895"/>
    <w:rsid w:val="00437B06"/>
    <w:rsid w:val="00437D5A"/>
    <w:rsid w:val="00437E77"/>
    <w:rsid w:val="004402A7"/>
    <w:rsid w:val="0044035D"/>
    <w:rsid w:val="00440507"/>
    <w:rsid w:val="0044062B"/>
    <w:rsid w:val="004407E3"/>
    <w:rsid w:val="00440850"/>
    <w:rsid w:val="00440A50"/>
    <w:rsid w:val="00440B3E"/>
    <w:rsid w:val="00440E87"/>
    <w:rsid w:val="00440EA5"/>
    <w:rsid w:val="00441062"/>
    <w:rsid w:val="00441076"/>
    <w:rsid w:val="004412D8"/>
    <w:rsid w:val="0044142F"/>
    <w:rsid w:val="004414CC"/>
    <w:rsid w:val="0044160C"/>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50"/>
    <w:rsid w:val="0044307B"/>
    <w:rsid w:val="004430FD"/>
    <w:rsid w:val="004430FE"/>
    <w:rsid w:val="00443586"/>
    <w:rsid w:val="004435E2"/>
    <w:rsid w:val="00443624"/>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30"/>
    <w:rsid w:val="00446DFA"/>
    <w:rsid w:val="00446E75"/>
    <w:rsid w:val="00447217"/>
    <w:rsid w:val="00447337"/>
    <w:rsid w:val="00447611"/>
    <w:rsid w:val="004478FA"/>
    <w:rsid w:val="00447CBD"/>
    <w:rsid w:val="00450003"/>
    <w:rsid w:val="0045039C"/>
    <w:rsid w:val="004504CE"/>
    <w:rsid w:val="004504D2"/>
    <w:rsid w:val="00450514"/>
    <w:rsid w:val="004505B9"/>
    <w:rsid w:val="00450778"/>
    <w:rsid w:val="0045081E"/>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348"/>
    <w:rsid w:val="0045265C"/>
    <w:rsid w:val="00452691"/>
    <w:rsid w:val="004527C0"/>
    <w:rsid w:val="00452B92"/>
    <w:rsid w:val="00452C93"/>
    <w:rsid w:val="0045316D"/>
    <w:rsid w:val="004536D4"/>
    <w:rsid w:val="00453871"/>
    <w:rsid w:val="00453DEF"/>
    <w:rsid w:val="00453FD9"/>
    <w:rsid w:val="004540AC"/>
    <w:rsid w:val="00454129"/>
    <w:rsid w:val="004543E4"/>
    <w:rsid w:val="00454748"/>
    <w:rsid w:val="004548E5"/>
    <w:rsid w:val="00454ACD"/>
    <w:rsid w:val="00454D63"/>
    <w:rsid w:val="00454E37"/>
    <w:rsid w:val="00454F08"/>
    <w:rsid w:val="00454F85"/>
    <w:rsid w:val="0045501E"/>
    <w:rsid w:val="00455105"/>
    <w:rsid w:val="00455229"/>
    <w:rsid w:val="0045553C"/>
    <w:rsid w:val="00455C9D"/>
    <w:rsid w:val="00455E20"/>
    <w:rsid w:val="00455EC3"/>
    <w:rsid w:val="00455EDA"/>
    <w:rsid w:val="00455FAF"/>
    <w:rsid w:val="00456114"/>
    <w:rsid w:val="0045623E"/>
    <w:rsid w:val="004562BF"/>
    <w:rsid w:val="00456799"/>
    <w:rsid w:val="004567CC"/>
    <w:rsid w:val="00456971"/>
    <w:rsid w:val="00456A84"/>
    <w:rsid w:val="00456AA3"/>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2A"/>
    <w:rsid w:val="004605CC"/>
    <w:rsid w:val="0046072D"/>
    <w:rsid w:val="0046075A"/>
    <w:rsid w:val="00460921"/>
    <w:rsid w:val="00460958"/>
    <w:rsid w:val="00460D4A"/>
    <w:rsid w:val="0046110A"/>
    <w:rsid w:val="0046125B"/>
    <w:rsid w:val="004612C8"/>
    <w:rsid w:val="0046136B"/>
    <w:rsid w:val="00461404"/>
    <w:rsid w:val="004614A1"/>
    <w:rsid w:val="0046164D"/>
    <w:rsid w:val="004616E5"/>
    <w:rsid w:val="004616FF"/>
    <w:rsid w:val="0046176B"/>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705"/>
    <w:rsid w:val="00464897"/>
    <w:rsid w:val="004648E8"/>
    <w:rsid w:val="00464A82"/>
    <w:rsid w:val="00464AB6"/>
    <w:rsid w:val="00464B73"/>
    <w:rsid w:val="00464BD1"/>
    <w:rsid w:val="00464DAD"/>
    <w:rsid w:val="00464EDA"/>
    <w:rsid w:val="00464EE0"/>
    <w:rsid w:val="00465073"/>
    <w:rsid w:val="00465098"/>
    <w:rsid w:val="0046512B"/>
    <w:rsid w:val="00465180"/>
    <w:rsid w:val="004651C8"/>
    <w:rsid w:val="00465235"/>
    <w:rsid w:val="004653F0"/>
    <w:rsid w:val="00465467"/>
    <w:rsid w:val="00465573"/>
    <w:rsid w:val="00465718"/>
    <w:rsid w:val="00465903"/>
    <w:rsid w:val="00465EB3"/>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7D8"/>
    <w:rsid w:val="00472802"/>
    <w:rsid w:val="0047293D"/>
    <w:rsid w:val="00472ACB"/>
    <w:rsid w:val="00472C42"/>
    <w:rsid w:val="004735E8"/>
    <w:rsid w:val="00473631"/>
    <w:rsid w:val="004736A3"/>
    <w:rsid w:val="00473792"/>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AB1"/>
    <w:rsid w:val="00475BC8"/>
    <w:rsid w:val="00475D13"/>
    <w:rsid w:val="00475D1F"/>
    <w:rsid w:val="00475E50"/>
    <w:rsid w:val="00475E54"/>
    <w:rsid w:val="00475F90"/>
    <w:rsid w:val="004761B0"/>
    <w:rsid w:val="00476406"/>
    <w:rsid w:val="00476549"/>
    <w:rsid w:val="00476749"/>
    <w:rsid w:val="004767D8"/>
    <w:rsid w:val="004768E5"/>
    <w:rsid w:val="00476C16"/>
    <w:rsid w:val="00476D14"/>
    <w:rsid w:val="00476D8B"/>
    <w:rsid w:val="00476E98"/>
    <w:rsid w:val="00476EA5"/>
    <w:rsid w:val="00476EAE"/>
    <w:rsid w:val="004772CB"/>
    <w:rsid w:val="00477423"/>
    <w:rsid w:val="004774C5"/>
    <w:rsid w:val="004774EA"/>
    <w:rsid w:val="004775ED"/>
    <w:rsid w:val="004778C0"/>
    <w:rsid w:val="00477B60"/>
    <w:rsid w:val="00480509"/>
    <w:rsid w:val="0048058A"/>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743"/>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72A"/>
    <w:rsid w:val="004868A9"/>
    <w:rsid w:val="004868FF"/>
    <w:rsid w:val="004869B5"/>
    <w:rsid w:val="00486BDB"/>
    <w:rsid w:val="00487352"/>
    <w:rsid w:val="004873A7"/>
    <w:rsid w:val="00487451"/>
    <w:rsid w:val="004874D3"/>
    <w:rsid w:val="00487821"/>
    <w:rsid w:val="00487866"/>
    <w:rsid w:val="00487A6F"/>
    <w:rsid w:val="00487A8E"/>
    <w:rsid w:val="00487C04"/>
    <w:rsid w:val="00487CBD"/>
    <w:rsid w:val="00487F28"/>
    <w:rsid w:val="00487F98"/>
    <w:rsid w:val="004900AA"/>
    <w:rsid w:val="00490185"/>
    <w:rsid w:val="00490340"/>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6A6"/>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42"/>
    <w:rsid w:val="00494D52"/>
    <w:rsid w:val="00494E75"/>
    <w:rsid w:val="00495071"/>
    <w:rsid w:val="004951B0"/>
    <w:rsid w:val="00495246"/>
    <w:rsid w:val="004953D5"/>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DD4"/>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45"/>
    <w:rsid w:val="004A4353"/>
    <w:rsid w:val="004A4625"/>
    <w:rsid w:val="004A46E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ADD"/>
    <w:rsid w:val="004A5B1D"/>
    <w:rsid w:val="004A5BE5"/>
    <w:rsid w:val="004A5D36"/>
    <w:rsid w:val="004A5D78"/>
    <w:rsid w:val="004A5F4E"/>
    <w:rsid w:val="004A5FD5"/>
    <w:rsid w:val="004A6255"/>
    <w:rsid w:val="004A62C4"/>
    <w:rsid w:val="004A63C5"/>
    <w:rsid w:val="004A6404"/>
    <w:rsid w:val="004A6416"/>
    <w:rsid w:val="004A6511"/>
    <w:rsid w:val="004A6AE1"/>
    <w:rsid w:val="004A6C19"/>
    <w:rsid w:val="004A6CA0"/>
    <w:rsid w:val="004A7035"/>
    <w:rsid w:val="004A705C"/>
    <w:rsid w:val="004A714F"/>
    <w:rsid w:val="004A7172"/>
    <w:rsid w:val="004A7276"/>
    <w:rsid w:val="004A746B"/>
    <w:rsid w:val="004A7494"/>
    <w:rsid w:val="004A7577"/>
    <w:rsid w:val="004A758B"/>
    <w:rsid w:val="004A770C"/>
    <w:rsid w:val="004A7816"/>
    <w:rsid w:val="004A7820"/>
    <w:rsid w:val="004A7889"/>
    <w:rsid w:val="004A7C85"/>
    <w:rsid w:val="004A7EE7"/>
    <w:rsid w:val="004A7EE9"/>
    <w:rsid w:val="004A7FB0"/>
    <w:rsid w:val="004B00EE"/>
    <w:rsid w:val="004B0164"/>
    <w:rsid w:val="004B01EA"/>
    <w:rsid w:val="004B0706"/>
    <w:rsid w:val="004B0780"/>
    <w:rsid w:val="004B0787"/>
    <w:rsid w:val="004B0C72"/>
    <w:rsid w:val="004B0DDB"/>
    <w:rsid w:val="004B0FF1"/>
    <w:rsid w:val="004B1313"/>
    <w:rsid w:val="004B13D8"/>
    <w:rsid w:val="004B1682"/>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D83"/>
    <w:rsid w:val="004C1ED8"/>
    <w:rsid w:val="004C217B"/>
    <w:rsid w:val="004C21BC"/>
    <w:rsid w:val="004C2371"/>
    <w:rsid w:val="004C2416"/>
    <w:rsid w:val="004C245B"/>
    <w:rsid w:val="004C2832"/>
    <w:rsid w:val="004C2AB7"/>
    <w:rsid w:val="004C2F01"/>
    <w:rsid w:val="004C2F0C"/>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8CB"/>
    <w:rsid w:val="004D0B5A"/>
    <w:rsid w:val="004D0E42"/>
    <w:rsid w:val="004D0F6E"/>
    <w:rsid w:val="004D0FA5"/>
    <w:rsid w:val="004D1059"/>
    <w:rsid w:val="004D1415"/>
    <w:rsid w:val="004D144C"/>
    <w:rsid w:val="004D14D0"/>
    <w:rsid w:val="004D1734"/>
    <w:rsid w:val="004D174D"/>
    <w:rsid w:val="004D17E6"/>
    <w:rsid w:val="004D1A33"/>
    <w:rsid w:val="004D1AF8"/>
    <w:rsid w:val="004D1C35"/>
    <w:rsid w:val="004D1D64"/>
    <w:rsid w:val="004D1DBB"/>
    <w:rsid w:val="004D1FEB"/>
    <w:rsid w:val="004D2474"/>
    <w:rsid w:val="004D250C"/>
    <w:rsid w:val="004D25F3"/>
    <w:rsid w:val="004D2619"/>
    <w:rsid w:val="004D270D"/>
    <w:rsid w:val="004D27C4"/>
    <w:rsid w:val="004D284C"/>
    <w:rsid w:val="004D2855"/>
    <w:rsid w:val="004D2870"/>
    <w:rsid w:val="004D2A69"/>
    <w:rsid w:val="004D2C9A"/>
    <w:rsid w:val="004D2CCD"/>
    <w:rsid w:val="004D2E57"/>
    <w:rsid w:val="004D30AD"/>
    <w:rsid w:val="004D30D0"/>
    <w:rsid w:val="004D3251"/>
    <w:rsid w:val="004D3403"/>
    <w:rsid w:val="004D38D1"/>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BF6"/>
    <w:rsid w:val="004D4CB6"/>
    <w:rsid w:val="004D4D31"/>
    <w:rsid w:val="004D4D99"/>
    <w:rsid w:val="004D4E6F"/>
    <w:rsid w:val="004D50CC"/>
    <w:rsid w:val="004D5308"/>
    <w:rsid w:val="004D5720"/>
    <w:rsid w:val="004D5728"/>
    <w:rsid w:val="004D57CC"/>
    <w:rsid w:val="004D58D1"/>
    <w:rsid w:val="004D5BF0"/>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480"/>
    <w:rsid w:val="004D7A07"/>
    <w:rsid w:val="004D7BBA"/>
    <w:rsid w:val="004D7FB7"/>
    <w:rsid w:val="004E0033"/>
    <w:rsid w:val="004E00F1"/>
    <w:rsid w:val="004E03BE"/>
    <w:rsid w:val="004E04EF"/>
    <w:rsid w:val="004E071E"/>
    <w:rsid w:val="004E0889"/>
    <w:rsid w:val="004E09E9"/>
    <w:rsid w:val="004E0AA4"/>
    <w:rsid w:val="004E0B57"/>
    <w:rsid w:val="004E0CD0"/>
    <w:rsid w:val="004E10D2"/>
    <w:rsid w:val="004E1260"/>
    <w:rsid w:val="004E1318"/>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6F"/>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D1B"/>
    <w:rsid w:val="004F1F65"/>
    <w:rsid w:val="004F2261"/>
    <w:rsid w:val="004F244A"/>
    <w:rsid w:val="004F26EE"/>
    <w:rsid w:val="004F2826"/>
    <w:rsid w:val="004F2898"/>
    <w:rsid w:val="004F2AA6"/>
    <w:rsid w:val="004F2B9C"/>
    <w:rsid w:val="004F2CCE"/>
    <w:rsid w:val="004F2CE6"/>
    <w:rsid w:val="004F312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285"/>
    <w:rsid w:val="004F4546"/>
    <w:rsid w:val="004F457A"/>
    <w:rsid w:val="004F45E3"/>
    <w:rsid w:val="004F4639"/>
    <w:rsid w:val="004F468D"/>
    <w:rsid w:val="004F478C"/>
    <w:rsid w:val="004F4A52"/>
    <w:rsid w:val="004F4E53"/>
    <w:rsid w:val="004F4F27"/>
    <w:rsid w:val="004F5029"/>
    <w:rsid w:val="004F5039"/>
    <w:rsid w:val="004F56BB"/>
    <w:rsid w:val="004F5748"/>
    <w:rsid w:val="004F5816"/>
    <w:rsid w:val="004F58AB"/>
    <w:rsid w:val="004F5D4A"/>
    <w:rsid w:val="004F5D6E"/>
    <w:rsid w:val="004F5E9A"/>
    <w:rsid w:val="004F5EBB"/>
    <w:rsid w:val="004F6091"/>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DD3"/>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08"/>
    <w:rsid w:val="00501BFC"/>
    <w:rsid w:val="00501CE2"/>
    <w:rsid w:val="00501F0D"/>
    <w:rsid w:val="005023DC"/>
    <w:rsid w:val="005024D6"/>
    <w:rsid w:val="0050255C"/>
    <w:rsid w:val="00502857"/>
    <w:rsid w:val="00502872"/>
    <w:rsid w:val="005028CC"/>
    <w:rsid w:val="005029A2"/>
    <w:rsid w:val="00502D48"/>
    <w:rsid w:val="00502F77"/>
    <w:rsid w:val="00502FCA"/>
    <w:rsid w:val="0050309B"/>
    <w:rsid w:val="005030C8"/>
    <w:rsid w:val="005033EE"/>
    <w:rsid w:val="0050377B"/>
    <w:rsid w:val="0050377D"/>
    <w:rsid w:val="005038A7"/>
    <w:rsid w:val="0050398B"/>
    <w:rsid w:val="005039C3"/>
    <w:rsid w:val="00503A01"/>
    <w:rsid w:val="00503F36"/>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90A"/>
    <w:rsid w:val="00505A2A"/>
    <w:rsid w:val="00505A6B"/>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D0"/>
    <w:rsid w:val="005068F0"/>
    <w:rsid w:val="00506933"/>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9B5"/>
    <w:rsid w:val="00507CAF"/>
    <w:rsid w:val="00507EEF"/>
    <w:rsid w:val="0051022E"/>
    <w:rsid w:val="00510374"/>
    <w:rsid w:val="00510444"/>
    <w:rsid w:val="0051079F"/>
    <w:rsid w:val="005107D8"/>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DB"/>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C2D"/>
    <w:rsid w:val="00525F71"/>
    <w:rsid w:val="00526270"/>
    <w:rsid w:val="005263BE"/>
    <w:rsid w:val="005268A1"/>
    <w:rsid w:val="005268B5"/>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827"/>
    <w:rsid w:val="00530AFD"/>
    <w:rsid w:val="00530C04"/>
    <w:rsid w:val="00530F05"/>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1A"/>
    <w:rsid w:val="00532C9D"/>
    <w:rsid w:val="00532CB9"/>
    <w:rsid w:val="00532E51"/>
    <w:rsid w:val="00533215"/>
    <w:rsid w:val="00533282"/>
    <w:rsid w:val="005332D4"/>
    <w:rsid w:val="005334E4"/>
    <w:rsid w:val="005334FB"/>
    <w:rsid w:val="00533702"/>
    <w:rsid w:val="00533886"/>
    <w:rsid w:val="005339E8"/>
    <w:rsid w:val="00533A50"/>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6A"/>
    <w:rsid w:val="0053547D"/>
    <w:rsid w:val="005354AB"/>
    <w:rsid w:val="005356B7"/>
    <w:rsid w:val="0053588C"/>
    <w:rsid w:val="00535A27"/>
    <w:rsid w:val="00535B60"/>
    <w:rsid w:val="00535F75"/>
    <w:rsid w:val="00536166"/>
    <w:rsid w:val="00536264"/>
    <w:rsid w:val="005362D4"/>
    <w:rsid w:val="00536361"/>
    <w:rsid w:val="00536496"/>
    <w:rsid w:val="00536AEE"/>
    <w:rsid w:val="00536C8C"/>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2CF"/>
    <w:rsid w:val="00543449"/>
    <w:rsid w:val="0054345C"/>
    <w:rsid w:val="0054348B"/>
    <w:rsid w:val="00543628"/>
    <w:rsid w:val="00543636"/>
    <w:rsid w:val="005436D7"/>
    <w:rsid w:val="00543703"/>
    <w:rsid w:val="00543A06"/>
    <w:rsid w:val="00543A66"/>
    <w:rsid w:val="00543A83"/>
    <w:rsid w:val="00543F4F"/>
    <w:rsid w:val="00543FA3"/>
    <w:rsid w:val="005441CB"/>
    <w:rsid w:val="00544214"/>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BD"/>
    <w:rsid w:val="005459D2"/>
    <w:rsid w:val="00545B32"/>
    <w:rsid w:val="00545C3D"/>
    <w:rsid w:val="00545E6A"/>
    <w:rsid w:val="00545EAB"/>
    <w:rsid w:val="0054606D"/>
    <w:rsid w:val="00546310"/>
    <w:rsid w:val="00546332"/>
    <w:rsid w:val="00546343"/>
    <w:rsid w:val="00546416"/>
    <w:rsid w:val="00546506"/>
    <w:rsid w:val="00546629"/>
    <w:rsid w:val="005466E9"/>
    <w:rsid w:val="00546738"/>
    <w:rsid w:val="00546783"/>
    <w:rsid w:val="00546799"/>
    <w:rsid w:val="005467D6"/>
    <w:rsid w:val="0054687B"/>
    <w:rsid w:val="00546942"/>
    <w:rsid w:val="00546D63"/>
    <w:rsid w:val="00546EAB"/>
    <w:rsid w:val="00546F3F"/>
    <w:rsid w:val="00546FD4"/>
    <w:rsid w:val="00547090"/>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57"/>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BD5"/>
    <w:rsid w:val="00554DF7"/>
    <w:rsid w:val="00555046"/>
    <w:rsid w:val="00555048"/>
    <w:rsid w:val="005552B9"/>
    <w:rsid w:val="005554EA"/>
    <w:rsid w:val="00555520"/>
    <w:rsid w:val="00555713"/>
    <w:rsid w:val="00555772"/>
    <w:rsid w:val="00555777"/>
    <w:rsid w:val="00555946"/>
    <w:rsid w:val="00555D6F"/>
    <w:rsid w:val="0055620D"/>
    <w:rsid w:val="005562AF"/>
    <w:rsid w:val="005562EC"/>
    <w:rsid w:val="00556680"/>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6A"/>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C70"/>
    <w:rsid w:val="00563E7D"/>
    <w:rsid w:val="00563FD2"/>
    <w:rsid w:val="0056402A"/>
    <w:rsid w:val="0056434D"/>
    <w:rsid w:val="005643A9"/>
    <w:rsid w:val="00564597"/>
    <w:rsid w:val="0056466C"/>
    <w:rsid w:val="005646E5"/>
    <w:rsid w:val="00564788"/>
    <w:rsid w:val="005647CB"/>
    <w:rsid w:val="00564A2C"/>
    <w:rsid w:val="00564CD6"/>
    <w:rsid w:val="00564DCB"/>
    <w:rsid w:val="00564EB9"/>
    <w:rsid w:val="0056536B"/>
    <w:rsid w:val="0056539E"/>
    <w:rsid w:val="005655DA"/>
    <w:rsid w:val="005657DD"/>
    <w:rsid w:val="0056582C"/>
    <w:rsid w:val="00565D94"/>
    <w:rsid w:val="00565DA2"/>
    <w:rsid w:val="00565E25"/>
    <w:rsid w:val="00565F18"/>
    <w:rsid w:val="00566138"/>
    <w:rsid w:val="005665C8"/>
    <w:rsid w:val="0056677E"/>
    <w:rsid w:val="00566B2A"/>
    <w:rsid w:val="00566B30"/>
    <w:rsid w:val="00566D7C"/>
    <w:rsid w:val="00566E10"/>
    <w:rsid w:val="00566F94"/>
    <w:rsid w:val="00566FDD"/>
    <w:rsid w:val="0056719E"/>
    <w:rsid w:val="0056745D"/>
    <w:rsid w:val="0056748E"/>
    <w:rsid w:val="005674BD"/>
    <w:rsid w:val="005675F7"/>
    <w:rsid w:val="00567632"/>
    <w:rsid w:val="005676F8"/>
    <w:rsid w:val="0056779F"/>
    <w:rsid w:val="005678BC"/>
    <w:rsid w:val="00567B2A"/>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2"/>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2C8"/>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1FC8"/>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3F3A"/>
    <w:rsid w:val="005843A1"/>
    <w:rsid w:val="005843F1"/>
    <w:rsid w:val="00584496"/>
    <w:rsid w:val="005846B7"/>
    <w:rsid w:val="00584B9F"/>
    <w:rsid w:val="00584DCB"/>
    <w:rsid w:val="00584E55"/>
    <w:rsid w:val="00584E9D"/>
    <w:rsid w:val="00584EFF"/>
    <w:rsid w:val="005852AA"/>
    <w:rsid w:val="00585644"/>
    <w:rsid w:val="00585668"/>
    <w:rsid w:val="00585867"/>
    <w:rsid w:val="005859E5"/>
    <w:rsid w:val="00585B15"/>
    <w:rsid w:val="00585B54"/>
    <w:rsid w:val="00585C3A"/>
    <w:rsid w:val="00585FB3"/>
    <w:rsid w:val="00586013"/>
    <w:rsid w:val="0058601C"/>
    <w:rsid w:val="0058628A"/>
    <w:rsid w:val="00586342"/>
    <w:rsid w:val="00586523"/>
    <w:rsid w:val="00586628"/>
    <w:rsid w:val="00586917"/>
    <w:rsid w:val="00586B34"/>
    <w:rsid w:val="00586C9E"/>
    <w:rsid w:val="00586F0F"/>
    <w:rsid w:val="00587117"/>
    <w:rsid w:val="0058759B"/>
    <w:rsid w:val="0058764D"/>
    <w:rsid w:val="005878AA"/>
    <w:rsid w:val="00587ADD"/>
    <w:rsid w:val="00587C29"/>
    <w:rsid w:val="00587EA1"/>
    <w:rsid w:val="00590060"/>
    <w:rsid w:val="0059020C"/>
    <w:rsid w:val="00590390"/>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76D"/>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6E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3E21"/>
    <w:rsid w:val="005A416C"/>
    <w:rsid w:val="005A417E"/>
    <w:rsid w:val="005A4432"/>
    <w:rsid w:val="005A45DB"/>
    <w:rsid w:val="005A49D0"/>
    <w:rsid w:val="005A4CD5"/>
    <w:rsid w:val="005A4E2C"/>
    <w:rsid w:val="005A55FF"/>
    <w:rsid w:val="005A569F"/>
    <w:rsid w:val="005A588D"/>
    <w:rsid w:val="005A593E"/>
    <w:rsid w:val="005A59CF"/>
    <w:rsid w:val="005A5E17"/>
    <w:rsid w:val="005A5E2A"/>
    <w:rsid w:val="005A613E"/>
    <w:rsid w:val="005A6223"/>
    <w:rsid w:val="005A6385"/>
    <w:rsid w:val="005A6A3A"/>
    <w:rsid w:val="005A6E87"/>
    <w:rsid w:val="005A72B6"/>
    <w:rsid w:val="005A747B"/>
    <w:rsid w:val="005A74C5"/>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1F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A0F"/>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E6"/>
    <w:rsid w:val="005B6F00"/>
    <w:rsid w:val="005B6F5E"/>
    <w:rsid w:val="005B6FAE"/>
    <w:rsid w:val="005B703E"/>
    <w:rsid w:val="005B70AF"/>
    <w:rsid w:val="005B71E2"/>
    <w:rsid w:val="005B754D"/>
    <w:rsid w:val="005B7568"/>
    <w:rsid w:val="005B762A"/>
    <w:rsid w:val="005B7824"/>
    <w:rsid w:val="005B7A4C"/>
    <w:rsid w:val="005B7A5C"/>
    <w:rsid w:val="005C001C"/>
    <w:rsid w:val="005C01BD"/>
    <w:rsid w:val="005C0350"/>
    <w:rsid w:val="005C03F7"/>
    <w:rsid w:val="005C0625"/>
    <w:rsid w:val="005C0746"/>
    <w:rsid w:val="005C0755"/>
    <w:rsid w:val="005C077D"/>
    <w:rsid w:val="005C0904"/>
    <w:rsid w:val="005C09BF"/>
    <w:rsid w:val="005C0B4E"/>
    <w:rsid w:val="005C0C08"/>
    <w:rsid w:val="005C0D61"/>
    <w:rsid w:val="005C0DDE"/>
    <w:rsid w:val="005C0FA9"/>
    <w:rsid w:val="005C1225"/>
    <w:rsid w:val="005C1283"/>
    <w:rsid w:val="005C132F"/>
    <w:rsid w:val="005C1752"/>
    <w:rsid w:val="005C18F5"/>
    <w:rsid w:val="005C1BF2"/>
    <w:rsid w:val="005C2144"/>
    <w:rsid w:val="005C247C"/>
    <w:rsid w:val="005C2636"/>
    <w:rsid w:val="005C299E"/>
    <w:rsid w:val="005C2D0E"/>
    <w:rsid w:val="005C2D32"/>
    <w:rsid w:val="005C2DAD"/>
    <w:rsid w:val="005C2DDD"/>
    <w:rsid w:val="005C3118"/>
    <w:rsid w:val="005C3201"/>
    <w:rsid w:val="005C36A2"/>
    <w:rsid w:val="005C376D"/>
    <w:rsid w:val="005C38C0"/>
    <w:rsid w:val="005C3941"/>
    <w:rsid w:val="005C3B59"/>
    <w:rsid w:val="005C3C56"/>
    <w:rsid w:val="005C3C97"/>
    <w:rsid w:val="005C3EBA"/>
    <w:rsid w:val="005C3F07"/>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DE"/>
    <w:rsid w:val="005C5F82"/>
    <w:rsid w:val="005C6222"/>
    <w:rsid w:val="005C6283"/>
    <w:rsid w:val="005C6405"/>
    <w:rsid w:val="005C69FA"/>
    <w:rsid w:val="005C6B26"/>
    <w:rsid w:val="005C6DD4"/>
    <w:rsid w:val="005C6ED1"/>
    <w:rsid w:val="005C737B"/>
    <w:rsid w:val="005C772B"/>
    <w:rsid w:val="005C7932"/>
    <w:rsid w:val="005C79B7"/>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3BE"/>
    <w:rsid w:val="005D34E5"/>
    <w:rsid w:val="005D3534"/>
    <w:rsid w:val="005D35C2"/>
    <w:rsid w:val="005D35E1"/>
    <w:rsid w:val="005D3707"/>
    <w:rsid w:val="005D382F"/>
    <w:rsid w:val="005D386A"/>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88"/>
    <w:rsid w:val="005D5933"/>
    <w:rsid w:val="005D5DE8"/>
    <w:rsid w:val="005D5E2C"/>
    <w:rsid w:val="005D5E46"/>
    <w:rsid w:val="005D609E"/>
    <w:rsid w:val="005D6211"/>
    <w:rsid w:val="005D6345"/>
    <w:rsid w:val="005D64A5"/>
    <w:rsid w:val="005D66FD"/>
    <w:rsid w:val="005D6929"/>
    <w:rsid w:val="005D6B10"/>
    <w:rsid w:val="005D6B30"/>
    <w:rsid w:val="005D6C93"/>
    <w:rsid w:val="005D6E1C"/>
    <w:rsid w:val="005D6ED3"/>
    <w:rsid w:val="005D701C"/>
    <w:rsid w:val="005D70E2"/>
    <w:rsid w:val="005D71B7"/>
    <w:rsid w:val="005D7298"/>
    <w:rsid w:val="005D7458"/>
    <w:rsid w:val="005D7539"/>
    <w:rsid w:val="005D76F4"/>
    <w:rsid w:val="005D7ADD"/>
    <w:rsid w:val="005D7E04"/>
    <w:rsid w:val="005D7EB9"/>
    <w:rsid w:val="005E0082"/>
    <w:rsid w:val="005E0366"/>
    <w:rsid w:val="005E03E5"/>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DCA"/>
    <w:rsid w:val="005E3E11"/>
    <w:rsid w:val="005E3E64"/>
    <w:rsid w:val="005E3FFF"/>
    <w:rsid w:val="005E4248"/>
    <w:rsid w:val="005E42E9"/>
    <w:rsid w:val="005E43AD"/>
    <w:rsid w:val="005E44B5"/>
    <w:rsid w:val="005E44EE"/>
    <w:rsid w:val="005E4689"/>
    <w:rsid w:val="005E47EF"/>
    <w:rsid w:val="005E48F7"/>
    <w:rsid w:val="005E4CCB"/>
    <w:rsid w:val="005E52E5"/>
    <w:rsid w:val="005E5495"/>
    <w:rsid w:val="005E54C2"/>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CD0"/>
    <w:rsid w:val="005F1FE4"/>
    <w:rsid w:val="005F20A1"/>
    <w:rsid w:val="005F2517"/>
    <w:rsid w:val="005F2528"/>
    <w:rsid w:val="005F2991"/>
    <w:rsid w:val="005F2B51"/>
    <w:rsid w:val="005F2E3F"/>
    <w:rsid w:val="005F3299"/>
    <w:rsid w:val="005F3433"/>
    <w:rsid w:val="005F369B"/>
    <w:rsid w:val="005F3730"/>
    <w:rsid w:val="005F3955"/>
    <w:rsid w:val="005F3BC9"/>
    <w:rsid w:val="005F3C55"/>
    <w:rsid w:val="005F3DEA"/>
    <w:rsid w:val="005F3F7F"/>
    <w:rsid w:val="005F40E5"/>
    <w:rsid w:val="005F419B"/>
    <w:rsid w:val="005F4212"/>
    <w:rsid w:val="005F435C"/>
    <w:rsid w:val="005F46D9"/>
    <w:rsid w:val="005F4792"/>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5DE5"/>
    <w:rsid w:val="005F6165"/>
    <w:rsid w:val="005F64A9"/>
    <w:rsid w:val="005F660A"/>
    <w:rsid w:val="005F6697"/>
    <w:rsid w:val="005F676D"/>
    <w:rsid w:val="005F69DD"/>
    <w:rsid w:val="005F6A9F"/>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19"/>
    <w:rsid w:val="00602354"/>
    <w:rsid w:val="0060254B"/>
    <w:rsid w:val="0060268D"/>
    <w:rsid w:val="006027D5"/>
    <w:rsid w:val="00602A62"/>
    <w:rsid w:val="00602B4C"/>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97"/>
    <w:rsid w:val="00605D9B"/>
    <w:rsid w:val="006061EC"/>
    <w:rsid w:val="00606338"/>
    <w:rsid w:val="00606622"/>
    <w:rsid w:val="0060662D"/>
    <w:rsid w:val="00606956"/>
    <w:rsid w:val="006069B8"/>
    <w:rsid w:val="00606CF0"/>
    <w:rsid w:val="00607331"/>
    <w:rsid w:val="00607481"/>
    <w:rsid w:val="00607482"/>
    <w:rsid w:val="006074B1"/>
    <w:rsid w:val="0060764C"/>
    <w:rsid w:val="00607ADE"/>
    <w:rsid w:val="00607E60"/>
    <w:rsid w:val="00607E68"/>
    <w:rsid w:val="00607EEB"/>
    <w:rsid w:val="00610197"/>
    <w:rsid w:val="0061019F"/>
    <w:rsid w:val="00610224"/>
    <w:rsid w:val="0061023F"/>
    <w:rsid w:val="006102C6"/>
    <w:rsid w:val="006103F0"/>
    <w:rsid w:val="006107AD"/>
    <w:rsid w:val="006108E1"/>
    <w:rsid w:val="00610B33"/>
    <w:rsid w:val="00610B78"/>
    <w:rsid w:val="00610D8D"/>
    <w:rsid w:val="00610E64"/>
    <w:rsid w:val="00610F1C"/>
    <w:rsid w:val="0061113B"/>
    <w:rsid w:val="006111A1"/>
    <w:rsid w:val="006112E3"/>
    <w:rsid w:val="006113A9"/>
    <w:rsid w:val="006114C2"/>
    <w:rsid w:val="006116E1"/>
    <w:rsid w:val="00611C3D"/>
    <w:rsid w:val="00611C82"/>
    <w:rsid w:val="00611F72"/>
    <w:rsid w:val="00612081"/>
    <w:rsid w:val="00612125"/>
    <w:rsid w:val="00612369"/>
    <w:rsid w:val="00612394"/>
    <w:rsid w:val="0061243E"/>
    <w:rsid w:val="006125DB"/>
    <w:rsid w:val="006127EA"/>
    <w:rsid w:val="006128BE"/>
    <w:rsid w:val="0061297E"/>
    <w:rsid w:val="00612C73"/>
    <w:rsid w:val="00612CB1"/>
    <w:rsid w:val="00612E96"/>
    <w:rsid w:val="00613120"/>
    <w:rsid w:val="00613170"/>
    <w:rsid w:val="00613237"/>
    <w:rsid w:val="006133A2"/>
    <w:rsid w:val="00613442"/>
    <w:rsid w:val="006134CE"/>
    <w:rsid w:val="006138D8"/>
    <w:rsid w:val="00613A55"/>
    <w:rsid w:val="00613E77"/>
    <w:rsid w:val="00614016"/>
    <w:rsid w:val="00614064"/>
    <w:rsid w:val="006140AE"/>
    <w:rsid w:val="006141D8"/>
    <w:rsid w:val="00614225"/>
    <w:rsid w:val="00614289"/>
    <w:rsid w:val="006142DB"/>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3F0"/>
    <w:rsid w:val="006164DD"/>
    <w:rsid w:val="0061650B"/>
    <w:rsid w:val="00616582"/>
    <w:rsid w:val="00616885"/>
    <w:rsid w:val="006168A2"/>
    <w:rsid w:val="00616C27"/>
    <w:rsid w:val="00616D68"/>
    <w:rsid w:val="00616F90"/>
    <w:rsid w:val="00616FAA"/>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6D0"/>
    <w:rsid w:val="00620721"/>
    <w:rsid w:val="00620805"/>
    <w:rsid w:val="00620920"/>
    <w:rsid w:val="006209E8"/>
    <w:rsid w:val="00620B08"/>
    <w:rsid w:val="00620EDE"/>
    <w:rsid w:val="006210FF"/>
    <w:rsid w:val="006211E8"/>
    <w:rsid w:val="00621207"/>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7B0"/>
    <w:rsid w:val="0062499A"/>
    <w:rsid w:val="00624C2C"/>
    <w:rsid w:val="00624C6E"/>
    <w:rsid w:val="00624C88"/>
    <w:rsid w:val="00624F30"/>
    <w:rsid w:val="00624FB3"/>
    <w:rsid w:val="0062528B"/>
    <w:rsid w:val="00625B24"/>
    <w:rsid w:val="00625E7E"/>
    <w:rsid w:val="00625FC2"/>
    <w:rsid w:val="006260FD"/>
    <w:rsid w:val="00626284"/>
    <w:rsid w:val="00626387"/>
    <w:rsid w:val="0062657C"/>
    <w:rsid w:val="006266C4"/>
    <w:rsid w:val="00626913"/>
    <w:rsid w:val="00626918"/>
    <w:rsid w:val="006269AC"/>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DFF"/>
    <w:rsid w:val="00630F43"/>
    <w:rsid w:val="00630FA4"/>
    <w:rsid w:val="00631007"/>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4E"/>
    <w:rsid w:val="00632E56"/>
    <w:rsid w:val="00632EEF"/>
    <w:rsid w:val="00632F28"/>
    <w:rsid w:val="0063305B"/>
    <w:rsid w:val="0063309C"/>
    <w:rsid w:val="006333DE"/>
    <w:rsid w:val="0063384B"/>
    <w:rsid w:val="00633951"/>
    <w:rsid w:val="00633965"/>
    <w:rsid w:val="00633A3A"/>
    <w:rsid w:val="00633B5E"/>
    <w:rsid w:val="00633C0A"/>
    <w:rsid w:val="00633CF8"/>
    <w:rsid w:val="00633DE9"/>
    <w:rsid w:val="0063405E"/>
    <w:rsid w:val="006341AD"/>
    <w:rsid w:val="00634247"/>
    <w:rsid w:val="006345BC"/>
    <w:rsid w:val="006346F1"/>
    <w:rsid w:val="0063476A"/>
    <w:rsid w:val="006347F5"/>
    <w:rsid w:val="00634D78"/>
    <w:rsid w:val="00634F76"/>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1061"/>
    <w:rsid w:val="00641145"/>
    <w:rsid w:val="006411AF"/>
    <w:rsid w:val="006411DF"/>
    <w:rsid w:val="00641253"/>
    <w:rsid w:val="006414BD"/>
    <w:rsid w:val="006415BA"/>
    <w:rsid w:val="00641667"/>
    <w:rsid w:val="006418DA"/>
    <w:rsid w:val="006419ED"/>
    <w:rsid w:val="006422EC"/>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544"/>
    <w:rsid w:val="0064486C"/>
    <w:rsid w:val="00644907"/>
    <w:rsid w:val="00644A30"/>
    <w:rsid w:val="00644A48"/>
    <w:rsid w:val="00644C8B"/>
    <w:rsid w:val="00644E46"/>
    <w:rsid w:val="00644E60"/>
    <w:rsid w:val="00645141"/>
    <w:rsid w:val="00645190"/>
    <w:rsid w:val="0064524F"/>
    <w:rsid w:val="0064525F"/>
    <w:rsid w:val="00645710"/>
    <w:rsid w:val="0064576D"/>
    <w:rsid w:val="00645ACC"/>
    <w:rsid w:val="00645D16"/>
    <w:rsid w:val="00645DB6"/>
    <w:rsid w:val="00646506"/>
    <w:rsid w:val="006466B5"/>
    <w:rsid w:val="00646C19"/>
    <w:rsid w:val="00646C41"/>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AF7"/>
    <w:rsid w:val="00651B74"/>
    <w:rsid w:val="00651D66"/>
    <w:rsid w:val="00651DC0"/>
    <w:rsid w:val="00651FA0"/>
    <w:rsid w:val="00652010"/>
    <w:rsid w:val="0065255D"/>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E1A"/>
    <w:rsid w:val="00653FED"/>
    <w:rsid w:val="00653FF4"/>
    <w:rsid w:val="0065424F"/>
    <w:rsid w:val="00654311"/>
    <w:rsid w:val="006544F6"/>
    <w:rsid w:val="00654533"/>
    <w:rsid w:val="0065472B"/>
    <w:rsid w:val="00654987"/>
    <w:rsid w:val="00655070"/>
    <w:rsid w:val="00655223"/>
    <w:rsid w:val="00655338"/>
    <w:rsid w:val="00655461"/>
    <w:rsid w:val="00655780"/>
    <w:rsid w:val="00655802"/>
    <w:rsid w:val="0065594D"/>
    <w:rsid w:val="00655A19"/>
    <w:rsid w:val="00655AB5"/>
    <w:rsid w:val="00655AC0"/>
    <w:rsid w:val="00655B1D"/>
    <w:rsid w:val="00655CFB"/>
    <w:rsid w:val="00655F0E"/>
    <w:rsid w:val="006561FF"/>
    <w:rsid w:val="0065620A"/>
    <w:rsid w:val="006562FF"/>
    <w:rsid w:val="00656527"/>
    <w:rsid w:val="00656630"/>
    <w:rsid w:val="00656642"/>
    <w:rsid w:val="006566E2"/>
    <w:rsid w:val="00656D36"/>
    <w:rsid w:val="00656D6F"/>
    <w:rsid w:val="00656E76"/>
    <w:rsid w:val="00656F3B"/>
    <w:rsid w:val="00656F43"/>
    <w:rsid w:val="00656FEC"/>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4F6"/>
    <w:rsid w:val="006645A5"/>
    <w:rsid w:val="00664678"/>
    <w:rsid w:val="006646F4"/>
    <w:rsid w:val="006647F4"/>
    <w:rsid w:val="00664C5C"/>
    <w:rsid w:val="00664CEC"/>
    <w:rsid w:val="00664DB0"/>
    <w:rsid w:val="00665229"/>
    <w:rsid w:val="00665316"/>
    <w:rsid w:val="00665441"/>
    <w:rsid w:val="006654E8"/>
    <w:rsid w:val="0066568F"/>
    <w:rsid w:val="006656EA"/>
    <w:rsid w:val="006657A3"/>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001"/>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773"/>
    <w:rsid w:val="00671B4F"/>
    <w:rsid w:val="00671BA7"/>
    <w:rsid w:val="00671CD7"/>
    <w:rsid w:val="00671E9C"/>
    <w:rsid w:val="00672181"/>
    <w:rsid w:val="006721B5"/>
    <w:rsid w:val="006725CC"/>
    <w:rsid w:val="00672611"/>
    <w:rsid w:val="00672623"/>
    <w:rsid w:val="0067273D"/>
    <w:rsid w:val="00672966"/>
    <w:rsid w:val="006729F5"/>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8CE"/>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A"/>
    <w:rsid w:val="00675ECB"/>
    <w:rsid w:val="006761AB"/>
    <w:rsid w:val="00676450"/>
    <w:rsid w:val="0067649C"/>
    <w:rsid w:val="00676576"/>
    <w:rsid w:val="0067666D"/>
    <w:rsid w:val="006767B8"/>
    <w:rsid w:val="006768A2"/>
    <w:rsid w:val="006768A8"/>
    <w:rsid w:val="00676AC9"/>
    <w:rsid w:val="00676B5F"/>
    <w:rsid w:val="00676BA6"/>
    <w:rsid w:val="00676F5C"/>
    <w:rsid w:val="0067754D"/>
    <w:rsid w:val="00677725"/>
    <w:rsid w:val="006777CE"/>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1D8B"/>
    <w:rsid w:val="00682085"/>
    <w:rsid w:val="006820C0"/>
    <w:rsid w:val="0068226B"/>
    <w:rsid w:val="006822FA"/>
    <w:rsid w:val="00682E47"/>
    <w:rsid w:val="00682ED3"/>
    <w:rsid w:val="00682FCB"/>
    <w:rsid w:val="006830A0"/>
    <w:rsid w:val="006834DB"/>
    <w:rsid w:val="006838E3"/>
    <w:rsid w:val="00683B88"/>
    <w:rsid w:val="00683C44"/>
    <w:rsid w:val="00683CBE"/>
    <w:rsid w:val="00683D70"/>
    <w:rsid w:val="00683D7F"/>
    <w:rsid w:val="00683E9E"/>
    <w:rsid w:val="0068419F"/>
    <w:rsid w:val="00684258"/>
    <w:rsid w:val="006845C9"/>
    <w:rsid w:val="00684D06"/>
    <w:rsid w:val="00684DCF"/>
    <w:rsid w:val="0068537A"/>
    <w:rsid w:val="006853F1"/>
    <w:rsid w:val="006853FF"/>
    <w:rsid w:val="00685645"/>
    <w:rsid w:val="00685725"/>
    <w:rsid w:val="00685834"/>
    <w:rsid w:val="006859AB"/>
    <w:rsid w:val="00685B6D"/>
    <w:rsid w:val="00685D3B"/>
    <w:rsid w:val="00685DB7"/>
    <w:rsid w:val="00686048"/>
    <w:rsid w:val="006861B3"/>
    <w:rsid w:val="0068623E"/>
    <w:rsid w:val="00686366"/>
    <w:rsid w:val="0068644C"/>
    <w:rsid w:val="0068653A"/>
    <w:rsid w:val="0068668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695"/>
    <w:rsid w:val="00691775"/>
    <w:rsid w:val="006919C5"/>
    <w:rsid w:val="006919E9"/>
    <w:rsid w:val="00691E4C"/>
    <w:rsid w:val="00692298"/>
    <w:rsid w:val="0069246E"/>
    <w:rsid w:val="006926E2"/>
    <w:rsid w:val="00692799"/>
    <w:rsid w:val="006927F0"/>
    <w:rsid w:val="006927F9"/>
    <w:rsid w:val="00692A0D"/>
    <w:rsid w:val="00692BDC"/>
    <w:rsid w:val="00693074"/>
    <w:rsid w:val="00693077"/>
    <w:rsid w:val="00693295"/>
    <w:rsid w:val="00693299"/>
    <w:rsid w:val="0069342E"/>
    <w:rsid w:val="006934DE"/>
    <w:rsid w:val="00693529"/>
    <w:rsid w:val="006935E1"/>
    <w:rsid w:val="00693A5C"/>
    <w:rsid w:val="00693D8F"/>
    <w:rsid w:val="00693F0A"/>
    <w:rsid w:val="006943E3"/>
    <w:rsid w:val="0069447C"/>
    <w:rsid w:val="006949AD"/>
    <w:rsid w:val="00694E1F"/>
    <w:rsid w:val="00694E55"/>
    <w:rsid w:val="006951E3"/>
    <w:rsid w:val="00695227"/>
    <w:rsid w:val="0069585D"/>
    <w:rsid w:val="00695900"/>
    <w:rsid w:val="00695A2A"/>
    <w:rsid w:val="00695D23"/>
    <w:rsid w:val="00696069"/>
    <w:rsid w:val="00696244"/>
    <w:rsid w:val="00696729"/>
    <w:rsid w:val="006969D6"/>
    <w:rsid w:val="00696B6A"/>
    <w:rsid w:val="00696D61"/>
    <w:rsid w:val="00696DD1"/>
    <w:rsid w:val="00697383"/>
    <w:rsid w:val="006974E0"/>
    <w:rsid w:val="00697556"/>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32"/>
    <w:rsid w:val="006A0942"/>
    <w:rsid w:val="006A0C0A"/>
    <w:rsid w:val="006A0CB3"/>
    <w:rsid w:val="006A0F62"/>
    <w:rsid w:val="006A1182"/>
    <w:rsid w:val="006A11E0"/>
    <w:rsid w:val="006A1845"/>
    <w:rsid w:val="006A18DD"/>
    <w:rsid w:val="006A19DC"/>
    <w:rsid w:val="006A1B43"/>
    <w:rsid w:val="006A1E80"/>
    <w:rsid w:val="006A1FCB"/>
    <w:rsid w:val="006A20BD"/>
    <w:rsid w:val="006A2266"/>
    <w:rsid w:val="006A2312"/>
    <w:rsid w:val="006A2347"/>
    <w:rsid w:val="006A24B3"/>
    <w:rsid w:val="006A257D"/>
    <w:rsid w:val="006A2947"/>
    <w:rsid w:val="006A2A63"/>
    <w:rsid w:val="006A2BF5"/>
    <w:rsid w:val="006A2C09"/>
    <w:rsid w:val="006A2C88"/>
    <w:rsid w:val="006A2D0E"/>
    <w:rsid w:val="006A2E66"/>
    <w:rsid w:val="006A30E8"/>
    <w:rsid w:val="006A31BE"/>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962"/>
    <w:rsid w:val="006A6B28"/>
    <w:rsid w:val="006A6B3F"/>
    <w:rsid w:val="006A6B69"/>
    <w:rsid w:val="006A6C67"/>
    <w:rsid w:val="006A6EB9"/>
    <w:rsid w:val="006A70A2"/>
    <w:rsid w:val="006A71C2"/>
    <w:rsid w:val="006A74C0"/>
    <w:rsid w:val="006A7574"/>
    <w:rsid w:val="006A75B2"/>
    <w:rsid w:val="006A7D7B"/>
    <w:rsid w:val="006A7F0A"/>
    <w:rsid w:val="006B044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18"/>
    <w:rsid w:val="006B3493"/>
    <w:rsid w:val="006B3668"/>
    <w:rsid w:val="006B36A4"/>
    <w:rsid w:val="006B393F"/>
    <w:rsid w:val="006B3C1B"/>
    <w:rsid w:val="006B3E55"/>
    <w:rsid w:val="006B401E"/>
    <w:rsid w:val="006B4126"/>
    <w:rsid w:val="006B44D6"/>
    <w:rsid w:val="006B460C"/>
    <w:rsid w:val="006B4649"/>
    <w:rsid w:val="006B46A6"/>
    <w:rsid w:val="006B47D1"/>
    <w:rsid w:val="006B4D21"/>
    <w:rsid w:val="006B4D32"/>
    <w:rsid w:val="006B503D"/>
    <w:rsid w:val="006B5111"/>
    <w:rsid w:val="006B5113"/>
    <w:rsid w:val="006B5561"/>
    <w:rsid w:val="006B5703"/>
    <w:rsid w:val="006B57E7"/>
    <w:rsid w:val="006B59F8"/>
    <w:rsid w:val="006B5DCB"/>
    <w:rsid w:val="006B6346"/>
    <w:rsid w:val="006B6604"/>
    <w:rsid w:val="006B66B4"/>
    <w:rsid w:val="006B6726"/>
    <w:rsid w:val="006B6AD0"/>
    <w:rsid w:val="006B6B2E"/>
    <w:rsid w:val="006B6B76"/>
    <w:rsid w:val="006B6BA3"/>
    <w:rsid w:val="006B6C83"/>
    <w:rsid w:val="006B6C95"/>
    <w:rsid w:val="006B6E48"/>
    <w:rsid w:val="006B7011"/>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A5"/>
    <w:rsid w:val="006C3C60"/>
    <w:rsid w:val="006C3C77"/>
    <w:rsid w:val="006C3CB3"/>
    <w:rsid w:val="006C3D1C"/>
    <w:rsid w:val="006C3E08"/>
    <w:rsid w:val="006C3E67"/>
    <w:rsid w:val="006C3E6B"/>
    <w:rsid w:val="006C3FF3"/>
    <w:rsid w:val="006C426B"/>
    <w:rsid w:val="006C427A"/>
    <w:rsid w:val="006C42AE"/>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D68"/>
    <w:rsid w:val="006C6E32"/>
    <w:rsid w:val="006C6E92"/>
    <w:rsid w:val="006C706A"/>
    <w:rsid w:val="006C7305"/>
    <w:rsid w:val="006C7341"/>
    <w:rsid w:val="006C7573"/>
    <w:rsid w:val="006C75C9"/>
    <w:rsid w:val="006C77C1"/>
    <w:rsid w:val="006C7CAC"/>
    <w:rsid w:val="006C7CC2"/>
    <w:rsid w:val="006C7F29"/>
    <w:rsid w:val="006C7FB9"/>
    <w:rsid w:val="006D039A"/>
    <w:rsid w:val="006D0490"/>
    <w:rsid w:val="006D0792"/>
    <w:rsid w:val="006D0846"/>
    <w:rsid w:val="006D08BE"/>
    <w:rsid w:val="006D08D2"/>
    <w:rsid w:val="006D09E4"/>
    <w:rsid w:val="006D0C09"/>
    <w:rsid w:val="006D0F49"/>
    <w:rsid w:val="006D1001"/>
    <w:rsid w:val="006D1171"/>
    <w:rsid w:val="006D13B3"/>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CFF"/>
    <w:rsid w:val="006D3D01"/>
    <w:rsid w:val="006D3ECB"/>
    <w:rsid w:val="006D4133"/>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3AE"/>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7D2"/>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CAA"/>
    <w:rsid w:val="006E4D3D"/>
    <w:rsid w:val="006E4D95"/>
    <w:rsid w:val="006E4DFC"/>
    <w:rsid w:val="006E4F44"/>
    <w:rsid w:val="006E4F83"/>
    <w:rsid w:val="006E5006"/>
    <w:rsid w:val="006E512D"/>
    <w:rsid w:val="006E5477"/>
    <w:rsid w:val="006E549E"/>
    <w:rsid w:val="006E554E"/>
    <w:rsid w:val="006E57D2"/>
    <w:rsid w:val="006E5949"/>
    <w:rsid w:val="006E5A0A"/>
    <w:rsid w:val="006E5AFE"/>
    <w:rsid w:val="006E5CCF"/>
    <w:rsid w:val="006E5E03"/>
    <w:rsid w:val="006E5FDC"/>
    <w:rsid w:val="006E621E"/>
    <w:rsid w:val="006E63E6"/>
    <w:rsid w:val="006E63FA"/>
    <w:rsid w:val="006E64BD"/>
    <w:rsid w:val="006E67E9"/>
    <w:rsid w:val="006E696A"/>
    <w:rsid w:val="006E6AD1"/>
    <w:rsid w:val="006E6B9B"/>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A8E"/>
    <w:rsid w:val="006F2BC7"/>
    <w:rsid w:val="006F2C55"/>
    <w:rsid w:val="006F3052"/>
    <w:rsid w:val="006F314D"/>
    <w:rsid w:val="006F31F5"/>
    <w:rsid w:val="006F3299"/>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9BD"/>
    <w:rsid w:val="006F4FC5"/>
    <w:rsid w:val="006F4FD2"/>
    <w:rsid w:val="006F5305"/>
    <w:rsid w:val="006F5406"/>
    <w:rsid w:val="006F5425"/>
    <w:rsid w:val="006F557B"/>
    <w:rsid w:val="006F5674"/>
    <w:rsid w:val="006F574B"/>
    <w:rsid w:val="006F58C4"/>
    <w:rsid w:val="006F59BB"/>
    <w:rsid w:val="006F5B41"/>
    <w:rsid w:val="006F5CD1"/>
    <w:rsid w:val="006F6001"/>
    <w:rsid w:val="006F647F"/>
    <w:rsid w:val="006F6689"/>
    <w:rsid w:val="006F669E"/>
    <w:rsid w:val="006F6740"/>
    <w:rsid w:val="006F6768"/>
    <w:rsid w:val="006F69DB"/>
    <w:rsid w:val="006F6BAD"/>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1E"/>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422"/>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6D42"/>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2C3"/>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D5"/>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E3D"/>
    <w:rsid w:val="00715F49"/>
    <w:rsid w:val="0071619B"/>
    <w:rsid w:val="007161E1"/>
    <w:rsid w:val="00716324"/>
    <w:rsid w:val="007163BF"/>
    <w:rsid w:val="00716478"/>
    <w:rsid w:val="0071649C"/>
    <w:rsid w:val="007166FA"/>
    <w:rsid w:val="007168F4"/>
    <w:rsid w:val="007169A4"/>
    <w:rsid w:val="007169BA"/>
    <w:rsid w:val="00716B63"/>
    <w:rsid w:val="00716FC0"/>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2D2"/>
    <w:rsid w:val="00725355"/>
    <w:rsid w:val="0072560E"/>
    <w:rsid w:val="00725686"/>
    <w:rsid w:val="0072572A"/>
    <w:rsid w:val="0072578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098"/>
    <w:rsid w:val="00730278"/>
    <w:rsid w:val="007305A9"/>
    <w:rsid w:val="007305C2"/>
    <w:rsid w:val="00730AD2"/>
    <w:rsid w:val="00730CB1"/>
    <w:rsid w:val="0073128B"/>
    <w:rsid w:val="00731292"/>
    <w:rsid w:val="007314CE"/>
    <w:rsid w:val="0073150C"/>
    <w:rsid w:val="0073171A"/>
    <w:rsid w:val="0073192F"/>
    <w:rsid w:val="00731999"/>
    <w:rsid w:val="00731D9D"/>
    <w:rsid w:val="00731FF6"/>
    <w:rsid w:val="0073235E"/>
    <w:rsid w:val="00732473"/>
    <w:rsid w:val="00732543"/>
    <w:rsid w:val="007325D3"/>
    <w:rsid w:val="00732813"/>
    <w:rsid w:val="00732874"/>
    <w:rsid w:val="00732876"/>
    <w:rsid w:val="00732885"/>
    <w:rsid w:val="00732A62"/>
    <w:rsid w:val="00733252"/>
    <w:rsid w:val="007335A7"/>
    <w:rsid w:val="007336DB"/>
    <w:rsid w:val="00733858"/>
    <w:rsid w:val="00733980"/>
    <w:rsid w:val="00733A05"/>
    <w:rsid w:val="00733A80"/>
    <w:rsid w:val="00733C22"/>
    <w:rsid w:val="00733C86"/>
    <w:rsid w:val="00733C88"/>
    <w:rsid w:val="00733E3A"/>
    <w:rsid w:val="00733E74"/>
    <w:rsid w:val="00734315"/>
    <w:rsid w:val="007343E7"/>
    <w:rsid w:val="0073451C"/>
    <w:rsid w:val="0073467A"/>
    <w:rsid w:val="00734718"/>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CF6"/>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FAA"/>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7"/>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BBE"/>
    <w:rsid w:val="00745C0F"/>
    <w:rsid w:val="00745D41"/>
    <w:rsid w:val="00745E38"/>
    <w:rsid w:val="00745EBB"/>
    <w:rsid w:val="00745F57"/>
    <w:rsid w:val="00746167"/>
    <w:rsid w:val="00746199"/>
    <w:rsid w:val="0074631C"/>
    <w:rsid w:val="007464FA"/>
    <w:rsid w:val="007467BC"/>
    <w:rsid w:val="007469CF"/>
    <w:rsid w:val="007470E1"/>
    <w:rsid w:val="00747446"/>
    <w:rsid w:val="00747678"/>
    <w:rsid w:val="00747BD8"/>
    <w:rsid w:val="00747D3F"/>
    <w:rsid w:val="00747DB7"/>
    <w:rsid w:val="00747E72"/>
    <w:rsid w:val="00747EF5"/>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AAA"/>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969"/>
    <w:rsid w:val="00756C34"/>
    <w:rsid w:val="00756CF3"/>
    <w:rsid w:val="00756F15"/>
    <w:rsid w:val="00756F1E"/>
    <w:rsid w:val="007570D5"/>
    <w:rsid w:val="0075712E"/>
    <w:rsid w:val="007571A8"/>
    <w:rsid w:val="007572C7"/>
    <w:rsid w:val="007572E9"/>
    <w:rsid w:val="007575A7"/>
    <w:rsid w:val="00757719"/>
    <w:rsid w:val="00757985"/>
    <w:rsid w:val="00757A61"/>
    <w:rsid w:val="00757B57"/>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0FEE"/>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84D"/>
    <w:rsid w:val="00764923"/>
    <w:rsid w:val="00764CB4"/>
    <w:rsid w:val="00764E44"/>
    <w:rsid w:val="00764EB8"/>
    <w:rsid w:val="00765098"/>
    <w:rsid w:val="007650A8"/>
    <w:rsid w:val="0076539C"/>
    <w:rsid w:val="00765530"/>
    <w:rsid w:val="0076566D"/>
    <w:rsid w:val="00765832"/>
    <w:rsid w:val="00765912"/>
    <w:rsid w:val="007659C9"/>
    <w:rsid w:val="00765C6F"/>
    <w:rsid w:val="00765CA6"/>
    <w:rsid w:val="00765DDF"/>
    <w:rsid w:val="00765FDC"/>
    <w:rsid w:val="00766207"/>
    <w:rsid w:val="007663A3"/>
    <w:rsid w:val="00766559"/>
    <w:rsid w:val="00766731"/>
    <w:rsid w:val="00766750"/>
    <w:rsid w:val="00766978"/>
    <w:rsid w:val="007669EF"/>
    <w:rsid w:val="00766A63"/>
    <w:rsid w:val="00766B0E"/>
    <w:rsid w:val="00766BB8"/>
    <w:rsid w:val="00766BFB"/>
    <w:rsid w:val="00766CF7"/>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85"/>
    <w:rsid w:val="007702B9"/>
    <w:rsid w:val="007702E4"/>
    <w:rsid w:val="007706BD"/>
    <w:rsid w:val="00770786"/>
    <w:rsid w:val="00770957"/>
    <w:rsid w:val="00770CEE"/>
    <w:rsid w:val="00770D2F"/>
    <w:rsid w:val="007710F9"/>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32B"/>
    <w:rsid w:val="00772772"/>
    <w:rsid w:val="007728F4"/>
    <w:rsid w:val="00772A0E"/>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646"/>
    <w:rsid w:val="0077493A"/>
    <w:rsid w:val="00774A7E"/>
    <w:rsid w:val="00774BB2"/>
    <w:rsid w:val="00774CF7"/>
    <w:rsid w:val="00774DFE"/>
    <w:rsid w:val="00774E5B"/>
    <w:rsid w:val="00774E82"/>
    <w:rsid w:val="00774EBB"/>
    <w:rsid w:val="00775023"/>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2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8E"/>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BC8"/>
    <w:rsid w:val="00784C31"/>
    <w:rsid w:val="00784EA1"/>
    <w:rsid w:val="00784ECF"/>
    <w:rsid w:val="00784FC7"/>
    <w:rsid w:val="00785037"/>
    <w:rsid w:val="0078512E"/>
    <w:rsid w:val="0078522C"/>
    <w:rsid w:val="0078537C"/>
    <w:rsid w:val="007853E7"/>
    <w:rsid w:val="00785533"/>
    <w:rsid w:val="00785632"/>
    <w:rsid w:val="007857D3"/>
    <w:rsid w:val="00785970"/>
    <w:rsid w:val="007859E1"/>
    <w:rsid w:val="00785B29"/>
    <w:rsid w:val="00785B66"/>
    <w:rsid w:val="00785E75"/>
    <w:rsid w:val="00786177"/>
    <w:rsid w:val="007861D1"/>
    <w:rsid w:val="00786272"/>
    <w:rsid w:val="007864B2"/>
    <w:rsid w:val="00786620"/>
    <w:rsid w:val="0078681A"/>
    <w:rsid w:val="007868B7"/>
    <w:rsid w:val="00786B1E"/>
    <w:rsid w:val="00786BC0"/>
    <w:rsid w:val="00786C17"/>
    <w:rsid w:val="00786D07"/>
    <w:rsid w:val="00786E1B"/>
    <w:rsid w:val="007875E7"/>
    <w:rsid w:val="00787736"/>
    <w:rsid w:val="007878DB"/>
    <w:rsid w:val="00787A55"/>
    <w:rsid w:val="00787B26"/>
    <w:rsid w:val="00787F1C"/>
    <w:rsid w:val="00787FF1"/>
    <w:rsid w:val="007903BD"/>
    <w:rsid w:val="007904E7"/>
    <w:rsid w:val="0079050E"/>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0EE"/>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46"/>
    <w:rsid w:val="0079675E"/>
    <w:rsid w:val="007967DC"/>
    <w:rsid w:val="00796B15"/>
    <w:rsid w:val="00796ED0"/>
    <w:rsid w:val="00796F8D"/>
    <w:rsid w:val="00797176"/>
    <w:rsid w:val="007973A7"/>
    <w:rsid w:val="00797DAA"/>
    <w:rsid w:val="00797E01"/>
    <w:rsid w:val="00797E03"/>
    <w:rsid w:val="00797F79"/>
    <w:rsid w:val="00797FCF"/>
    <w:rsid w:val="007A037B"/>
    <w:rsid w:val="007A03D4"/>
    <w:rsid w:val="007A05E8"/>
    <w:rsid w:val="007A0616"/>
    <w:rsid w:val="007A071B"/>
    <w:rsid w:val="007A088D"/>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F34"/>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0F"/>
    <w:rsid w:val="007A6053"/>
    <w:rsid w:val="007A618D"/>
    <w:rsid w:val="007A620A"/>
    <w:rsid w:val="007A6256"/>
    <w:rsid w:val="007A6333"/>
    <w:rsid w:val="007A6403"/>
    <w:rsid w:val="007A6477"/>
    <w:rsid w:val="007A650C"/>
    <w:rsid w:val="007A6589"/>
    <w:rsid w:val="007A6672"/>
    <w:rsid w:val="007A66F5"/>
    <w:rsid w:val="007A6909"/>
    <w:rsid w:val="007A6A34"/>
    <w:rsid w:val="007A6A5C"/>
    <w:rsid w:val="007A6A76"/>
    <w:rsid w:val="007A6C7F"/>
    <w:rsid w:val="007A6D83"/>
    <w:rsid w:val="007A6F8C"/>
    <w:rsid w:val="007A70AB"/>
    <w:rsid w:val="007A71FC"/>
    <w:rsid w:val="007A7228"/>
    <w:rsid w:val="007A73B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43"/>
    <w:rsid w:val="007B448A"/>
    <w:rsid w:val="007B44DC"/>
    <w:rsid w:val="007B4543"/>
    <w:rsid w:val="007B465D"/>
    <w:rsid w:val="007B4937"/>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3D2"/>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575"/>
    <w:rsid w:val="007C18DB"/>
    <w:rsid w:val="007C194F"/>
    <w:rsid w:val="007C198E"/>
    <w:rsid w:val="007C1B94"/>
    <w:rsid w:val="007C1E23"/>
    <w:rsid w:val="007C1F4E"/>
    <w:rsid w:val="007C20DD"/>
    <w:rsid w:val="007C25ED"/>
    <w:rsid w:val="007C26AA"/>
    <w:rsid w:val="007C26D1"/>
    <w:rsid w:val="007C26FF"/>
    <w:rsid w:val="007C284A"/>
    <w:rsid w:val="007C2A39"/>
    <w:rsid w:val="007C2AAF"/>
    <w:rsid w:val="007C2B87"/>
    <w:rsid w:val="007C2CCC"/>
    <w:rsid w:val="007C2D37"/>
    <w:rsid w:val="007C2DBC"/>
    <w:rsid w:val="007C301B"/>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ED"/>
    <w:rsid w:val="007C52F0"/>
    <w:rsid w:val="007C55AC"/>
    <w:rsid w:val="007C563D"/>
    <w:rsid w:val="007C56CE"/>
    <w:rsid w:val="007C58B7"/>
    <w:rsid w:val="007C58C4"/>
    <w:rsid w:val="007C58D8"/>
    <w:rsid w:val="007C5910"/>
    <w:rsid w:val="007C5B55"/>
    <w:rsid w:val="007C5CE6"/>
    <w:rsid w:val="007C5DB6"/>
    <w:rsid w:val="007C5DF9"/>
    <w:rsid w:val="007C5E7E"/>
    <w:rsid w:val="007C60B4"/>
    <w:rsid w:val="007C61D4"/>
    <w:rsid w:val="007C636A"/>
    <w:rsid w:val="007C64BC"/>
    <w:rsid w:val="007C6641"/>
    <w:rsid w:val="007C677E"/>
    <w:rsid w:val="007C6939"/>
    <w:rsid w:val="007C6941"/>
    <w:rsid w:val="007C6AE9"/>
    <w:rsid w:val="007C6D8A"/>
    <w:rsid w:val="007C6E75"/>
    <w:rsid w:val="007C6F89"/>
    <w:rsid w:val="007C709B"/>
    <w:rsid w:val="007C73BC"/>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9BD"/>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3B8B"/>
    <w:rsid w:val="007D418E"/>
    <w:rsid w:val="007D421E"/>
    <w:rsid w:val="007D432F"/>
    <w:rsid w:val="007D449E"/>
    <w:rsid w:val="007D478D"/>
    <w:rsid w:val="007D4838"/>
    <w:rsid w:val="007D4956"/>
    <w:rsid w:val="007D498B"/>
    <w:rsid w:val="007D4B95"/>
    <w:rsid w:val="007D4D6D"/>
    <w:rsid w:val="007D4D97"/>
    <w:rsid w:val="007D4E93"/>
    <w:rsid w:val="007D4FF2"/>
    <w:rsid w:val="007D5033"/>
    <w:rsid w:val="007D510D"/>
    <w:rsid w:val="007D510F"/>
    <w:rsid w:val="007D512C"/>
    <w:rsid w:val="007D51BA"/>
    <w:rsid w:val="007D526F"/>
    <w:rsid w:val="007D5273"/>
    <w:rsid w:val="007D5531"/>
    <w:rsid w:val="007D55AB"/>
    <w:rsid w:val="007D56FB"/>
    <w:rsid w:val="007D5B86"/>
    <w:rsid w:val="007D5CFA"/>
    <w:rsid w:val="007D606D"/>
    <w:rsid w:val="007D6252"/>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189"/>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33"/>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CC1"/>
    <w:rsid w:val="007E4D9A"/>
    <w:rsid w:val="007E511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D58"/>
    <w:rsid w:val="007E6E1F"/>
    <w:rsid w:val="007E6E82"/>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367"/>
    <w:rsid w:val="007F1670"/>
    <w:rsid w:val="007F18C0"/>
    <w:rsid w:val="007F1967"/>
    <w:rsid w:val="007F1D13"/>
    <w:rsid w:val="007F1D6C"/>
    <w:rsid w:val="007F1F83"/>
    <w:rsid w:val="007F2324"/>
    <w:rsid w:val="007F2477"/>
    <w:rsid w:val="007F25A2"/>
    <w:rsid w:val="007F2766"/>
    <w:rsid w:val="007F2952"/>
    <w:rsid w:val="007F2DBB"/>
    <w:rsid w:val="007F2E32"/>
    <w:rsid w:val="007F2ED4"/>
    <w:rsid w:val="007F2FDE"/>
    <w:rsid w:val="007F316F"/>
    <w:rsid w:val="007F31C2"/>
    <w:rsid w:val="007F3271"/>
    <w:rsid w:val="007F33A7"/>
    <w:rsid w:val="007F3622"/>
    <w:rsid w:val="007F36BB"/>
    <w:rsid w:val="007F38AE"/>
    <w:rsid w:val="007F3960"/>
    <w:rsid w:val="007F3ACC"/>
    <w:rsid w:val="007F3BF5"/>
    <w:rsid w:val="007F3C65"/>
    <w:rsid w:val="007F3D3C"/>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0D6"/>
    <w:rsid w:val="007F64BE"/>
    <w:rsid w:val="007F6562"/>
    <w:rsid w:val="007F65F2"/>
    <w:rsid w:val="007F66C6"/>
    <w:rsid w:val="007F6772"/>
    <w:rsid w:val="007F67DE"/>
    <w:rsid w:val="007F6898"/>
    <w:rsid w:val="007F6AD2"/>
    <w:rsid w:val="007F70D6"/>
    <w:rsid w:val="007F7237"/>
    <w:rsid w:val="007F751F"/>
    <w:rsid w:val="007F761F"/>
    <w:rsid w:val="007F7733"/>
    <w:rsid w:val="007F77DC"/>
    <w:rsid w:val="007F7864"/>
    <w:rsid w:val="007F795B"/>
    <w:rsid w:val="007F7DE5"/>
    <w:rsid w:val="007F7E2F"/>
    <w:rsid w:val="007F7EED"/>
    <w:rsid w:val="007F7FF9"/>
    <w:rsid w:val="00800104"/>
    <w:rsid w:val="00800184"/>
    <w:rsid w:val="00800312"/>
    <w:rsid w:val="00800412"/>
    <w:rsid w:val="0080057A"/>
    <w:rsid w:val="0080061D"/>
    <w:rsid w:val="00800994"/>
    <w:rsid w:val="00800D5F"/>
    <w:rsid w:val="00800D8A"/>
    <w:rsid w:val="00800E04"/>
    <w:rsid w:val="00800EFA"/>
    <w:rsid w:val="00801077"/>
    <w:rsid w:val="0080108E"/>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57"/>
    <w:rsid w:val="00802462"/>
    <w:rsid w:val="0080270F"/>
    <w:rsid w:val="00802846"/>
    <w:rsid w:val="00802B15"/>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DC"/>
    <w:rsid w:val="0080531D"/>
    <w:rsid w:val="0080537F"/>
    <w:rsid w:val="008053AD"/>
    <w:rsid w:val="00805458"/>
    <w:rsid w:val="008055DA"/>
    <w:rsid w:val="008056ED"/>
    <w:rsid w:val="00805C10"/>
    <w:rsid w:val="00805D11"/>
    <w:rsid w:val="008064BB"/>
    <w:rsid w:val="0080656E"/>
    <w:rsid w:val="008067F3"/>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CD3"/>
    <w:rsid w:val="00807D28"/>
    <w:rsid w:val="00807D5E"/>
    <w:rsid w:val="00807E1B"/>
    <w:rsid w:val="00807E3E"/>
    <w:rsid w:val="008100D3"/>
    <w:rsid w:val="008100D4"/>
    <w:rsid w:val="0081012C"/>
    <w:rsid w:val="0081036B"/>
    <w:rsid w:val="0081040E"/>
    <w:rsid w:val="00810453"/>
    <w:rsid w:val="00810A97"/>
    <w:rsid w:val="00810DB6"/>
    <w:rsid w:val="00810DE9"/>
    <w:rsid w:val="00810EAE"/>
    <w:rsid w:val="00810EE2"/>
    <w:rsid w:val="00811036"/>
    <w:rsid w:val="00811236"/>
    <w:rsid w:val="008112DB"/>
    <w:rsid w:val="008114B6"/>
    <w:rsid w:val="00811702"/>
    <w:rsid w:val="00811948"/>
    <w:rsid w:val="00811E7A"/>
    <w:rsid w:val="00812027"/>
    <w:rsid w:val="0081227E"/>
    <w:rsid w:val="008123D5"/>
    <w:rsid w:val="008124A8"/>
    <w:rsid w:val="008124FE"/>
    <w:rsid w:val="0081260A"/>
    <w:rsid w:val="008127B0"/>
    <w:rsid w:val="00812EBC"/>
    <w:rsid w:val="00812FE3"/>
    <w:rsid w:val="00813251"/>
    <w:rsid w:val="008132B0"/>
    <w:rsid w:val="008133E3"/>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2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0C6"/>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8FB"/>
    <w:rsid w:val="00823964"/>
    <w:rsid w:val="00823B2A"/>
    <w:rsid w:val="00823B3C"/>
    <w:rsid w:val="00823CF2"/>
    <w:rsid w:val="00823F5C"/>
    <w:rsid w:val="00823F61"/>
    <w:rsid w:val="0082412D"/>
    <w:rsid w:val="008241A2"/>
    <w:rsid w:val="00824216"/>
    <w:rsid w:val="00824453"/>
    <w:rsid w:val="0082449E"/>
    <w:rsid w:val="00824765"/>
    <w:rsid w:val="008247A4"/>
    <w:rsid w:val="008248BA"/>
    <w:rsid w:val="008249FF"/>
    <w:rsid w:val="00824DBB"/>
    <w:rsid w:val="0082502D"/>
    <w:rsid w:val="00825040"/>
    <w:rsid w:val="00825108"/>
    <w:rsid w:val="008251EC"/>
    <w:rsid w:val="00825469"/>
    <w:rsid w:val="00825511"/>
    <w:rsid w:val="0082552A"/>
    <w:rsid w:val="008255FB"/>
    <w:rsid w:val="00825639"/>
    <w:rsid w:val="00825693"/>
    <w:rsid w:val="008257FB"/>
    <w:rsid w:val="00825998"/>
    <w:rsid w:val="00825A50"/>
    <w:rsid w:val="00825D45"/>
    <w:rsid w:val="00825DC5"/>
    <w:rsid w:val="00825EEF"/>
    <w:rsid w:val="00825F52"/>
    <w:rsid w:val="008261D2"/>
    <w:rsid w:val="00826204"/>
    <w:rsid w:val="0082639C"/>
    <w:rsid w:val="008263E0"/>
    <w:rsid w:val="008267D3"/>
    <w:rsid w:val="00826D90"/>
    <w:rsid w:val="00827015"/>
    <w:rsid w:val="00827109"/>
    <w:rsid w:val="00827166"/>
    <w:rsid w:val="008272E9"/>
    <w:rsid w:val="008273AC"/>
    <w:rsid w:val="0082772B"/>
    <w:rsid w:val="0082794B"/>
    <w:rsid w:val="00827A41"/>
    <w:rsid w:val="00827AC1"/>
    <w:rsid w:val="00827AF3"/>
    <w:rsid w:val="00827CF9"/>
    <w:rsid w:val="00827FCB"/>
    <w:rsid w:val="0083064C"/>
    <w:rsid w:val="008306FA"/>
    <w:rsid w:val="00830975"/>
    <w:rsid w:val="00830C8A"/>
    <w:rsid w:val="00830FE8"/>
    <w:rsid w:val="00831577"/>
    <w:rsid w:val="00831691"/>
    <w:rsid w:val="00831738"/>
    <w:rsid w:val="0083179C"/>
    <w:rsid w:val="008317F1"/>
    <w:rsid w:val="008318A0"/>
    <w:rsid w:val="00831A03"/>
    <w:rsid w:val="00831CBC"/>
    <w:rsid w:val="00831E30"/>
    <w:rsid w:val="00832092"/>
    <w:rsid w:val="00832142"/>
    <w:rsid w:val="008321AA"/>
    <w:rsid w:val="00832C18"/>
    <w:rsid w:val="00832CAF"/>
    <w:rsid w:val="00832ED2"/>
    <w:rsid w:val="00833067"/>
    <w:rsid w:val="0083311A"/>
    <w:rsid w:val="008332CA"/>
    <w:rsid w:val="00833813"/>
    <w:rsid w:val="0083397C"/>
    <w:rsid w:val="00833ECB"/>
    <w:rsid w:val="0083400F"/>
    <w:rsid w:val="0083417A"/>
    <w:rsid w:val="00834476"/>
    <w:rsid w:val="00834512"/>
    <w:rsid w:val="00834581"/>
    <w:rsid w:val="008346B8"/>
    <w:rsid w:val="008349E7"/>
    <w:rsid w:val="00834B30"/>
    <w:rsid w:val="00834B8D"/>
    <w:rsid w:val="00834C6A"/>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C34"/>
    <w:rsid w:val="00842DB3"/>
    <w:rsid w:val="00842DB7"/>
    <w:rsid w:val="00842F8D"/>
    <w:rsid w:val="008434B0"/>
    <w:rsid w:val="008434BD"/>
    <w:rsid w:val="00843522"/>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1A6"/>
    <w:rsid w:val="00846273"/>
    <w:rsid w:val="00846467"/>
    <w:rsid w:val="00846661"/>
    <w:rsid w:val="0084676A"/>
    <w:rsid w:val="00846AC4"/>
    <w:rsid w:val="00846C2D"/>
    <w:rsid w:val="00846C77"/>
    <w:rsid w:val="00846E99"/>
    <w:rsid w:val="00846F4B"/>
    <w:rsid w:val="00846F93"/>
    <w:rsid w:val="00847458"/>
    <w:rsid w:val="00847473"/>
    <w:rsid w:val="00847964"/>
    <w:rsid w:val="00847991"/>
    <w:rsid w:val="00847A45"/>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21D0"/>
    <w:rsid w:val="00852338"/>
    <w:rsid w:val="00852619"/>
    <w:rsid w:val="008529B0"/>
    <w:rsid w:val="00852AA6"/>
    <w:rsid w:val="00852B54"/>
    <w:rsid w:val="00852CFA"/>
    <w:rsid w:val="00852D79"/>
    <w:rsid w:val="00852EE2"/>
    <w:rsid w:val="00852F05"/>
    <w:rsid w:val="00852FAF"/>
    <w:rsid w:val="008532A7"/>
    <w:rsid w:val="008533B9"/>
    <w:rsid w:val="008533C1"/>
    <w:rsid w:val="00853509"/>
    <w:rsid w:val="00853A25"/>
    <w:rsid w:val="00853C45"/>
    <w:rsid w:val="00854090"/>
    <w:rsid w:val="008540C8"/>
    <w:rsid w:val="008542FD"/>
    <w:rsid w:val="00854769"/>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1B1"/>
    <w:rsid w:val="0085722A"/>
    <w:rsid w:val="00857301"/>
    <w:rsid w:val="00857529"/>
    <w:rsid w:val="00857686"/>
    <w:rsid w:val="008578C4"/>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EAF"/>
    <w:rsid w:val="00862F15"/>
    <w:rsid w:val="00862FEB"/>
    <w:rsid w:val="00863096"/>
    <w:rsid w:val="00863403"/>
    <w:rsid w:val="00863479"/>
    <w:rsid w:val="00863A72"/>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8FE"/>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7B8"/>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C8"/>
    <w:rsid w:val="00874C5A"/>
    <w:rsid w:val="00874E29"/>
    <w:rsid w:val="00874E33"/>
    <w:rsid w:val="00874ED0"/>
    <w:rsid w:val="00874FAC"/>
    <w:rsid w:val="0087504C"/>
    <w:rsid w:val="0087505E"/>
    <w:rsid w:val="0087513E"/>
    <w:rsid w:val="0087571B"/>
    <w:rsid w:val="00875755"/>
    <w:rsid w:val="008757DE"/>
    <w:rsid w:val="00875905"/>
    <w:rsid w:val="0087592B"/>
    <w:rsid w:val="00875957"/>
    <w:rsid w:val="008759C1"/>
    <w:rsid w:val="00875E3C"/>
    <w:rsid w:val="00875F79"/>
    <w:rsid w:val="00875FBD"/>
    <w:rsid w:val="0087605E"/>
    <w:rsid w:val="00876AC2"/>
    <w:rsid w:val="00876AC7"/>
    <w:rsid w:val="0087700C"/>
    <w:rsid w:val="008774E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5D3"/>
    <w:rsid w:val="0088175D"/>
    <w:rsid w:val="0088176C"/>
    <w:rsid w:val="00881842"/>
    <w:rsid w:val="00881911"/>
    <w:rsid w:val="008819A5"/>
    <w:rsid w:val="00881DF9"/>
    <w:rsid w:val="00881F28"/>
    <w:rsid w:val="008820BE"/>
    <w:rsid w:val="00882171"/>
    <w:rsid w:val="008824E6"/>
    <w:rsid w:val="00882613"/>
    <w:rsid w:val="008828F2"/>
    <w:rsid w:val="0088298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720"/>
    <w:rsid w:val="00884899"/>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95B"/>
    <w:rsid w:val="00891B19"/>
    <w:rsid w:val="00891B6F"/>
    <w:rsid w:val="00891F63"/>
    <w:rsid w:val="00892019"/>
    <w:rsid w:val="0089211E"/>
    <w:rsid w:val="0089222D"/>
    <w:rsid w:val="00892253"/>
    <w:rsid w:val="008922DF"/>
    <w:rsid w:val="0089232A"/>
    <w:rsid w:val="008923E1"/>
    <w:rsid w:val="00892842"/>
    <w:rsid w:val="00892903"/>
    <w:rsid w:val="0089295B"/>
    <w:rsid w:val="00892B34"/>
    <w:rsid w:val="00892CB5"/>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B64"/>
    <w:rsid w:val="00894B83"/>
    <w:rsid w:val="00894EC0"/>
    <w:rsid w:val="00894F05"/>
    <w:rsid w:val="008951C7"/>
    <w:rsid w:val="00895243"/>
    <w:rsid w:val="00895383"/>
    <w:rsid w:val="008954B9"/>
    <w:rsid w:val="008954CC"/>
    <w:rsid w:val="00895514"/>
    <w:rsid w:val="0089552F"/>
    <w:rsid w:val="00895549"/>
    <w:rsid w:val="008955D7"/>
    <w:rsid w:val="008956B0"/>
    <w:rsid w:val="008957B9"/>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C88"/>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C65"/>
    <w:rsid w:val="008A1EA1"/>
    <w:rsid w:val="008A1FBC"/>
    <w:rsid w:val="008A2286"/>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185"/>
    <w:rsid w:val="008A422E"/>
    <w:rsid w:val="008A42C9"/>
    <w:rsid w:val="008A42D8"/>
    <w:rsid w:val="008A457F"/>
    <w:rsid w:val="008A4911"/>
    <w:rsid w:val="008A4DAC"/>
    <w:rsid w:val="008A4E04"/>
    <w:rsid w:val="008A4F76"/>
    <w:rsid w:val="008A50BC"/>
    <w:rsid w:val="008A52DC"/>
    <w:rsid w:val="008A53C3"/>
    <w:rsid w:val="008A59E9"/>
    <w:rsid w:val="008A5A72"/>
    <w:rsid w:val="008A5B9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867"/>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48"/>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5DFB"/>
    <w:rsid w:val="008B6038"/>
    <w:rsid w:val="008B60ED"/>
    <w:rsid w:val="008B6116"/>
    <w:rsid w:val="008B618B"/>
    <w:rsid w:val="008B66CB"/>
    <w:rsid w:val="008B6A84"/>
    <w:rsid w:val="008B6AD2"/>
    <w:rsid w:val="008B6C1A"/>
    <w:rsid w:val="008B6CD0"/>
    <w:rsid w:val="008B6D8D"/>
    <w:rsid w:val="008B6E5C"/>
    <w:rsid w:val="008B6EEA"/>
    <w:rsid w:val="008B7387"/>
    <w:rsid w:val="008B766D"/>
    <w:rsid w:val="008B7832"/>
    <w:rsid w:val="008B78F3"/>
    <w:rsid w:val="008B7C4A"/>
    <w:rsid w:val="008C018D"/>
    <w:rsid w:val="008C01F3"/>
    <w:rsid w:val="008C03EB"/>
    <w:rsid w:val="008C04E0"/>
    <w:rsid w:val="008C05E5"/>
    <w:rsid w:val="008C0A24"/>
    <w:rsid w:val="008C1076"/>
    <w:rsid w:val="008C1161"/>
    <w:rsid w:val="008C15AD"/>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5144"/>
    <w:rsid w:val="008C5689"/>
    <w:rsid w:val="008C570A"/>
    <w:rsid w:val="008C575E"/>
    <w:rsid w:val="008C5902"/>
    <w:rsid w:val="008C5916"/>
    <w:rsid w:val="008C59D5"/>
    <w:rsid w:val="008C5B10"/>
    <w:rsid w:val="008C5F22"/>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26"/>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C03"/>
    <w:rsid w:val="008D1CB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3C8"/>
    <w:rsid w:val="008D43DB"/>
    <w:rsid w:val="008D4423"/>
    <w:rsid w:val="008D442B"/>
    <w:rsid w:val="008D453F"/>
    <w:rsid w:val="008D462F"/>
    <w:rsid w:val="008D47A1"/>
    <w:rsid w:val="008D506D"/>
    <w:rsid w:val="008D508F"/>
    <w:rsid w:val="008D518F"/>
    <w:rsid w:val="008D538D"/>
    <w:rsid w:val="008D548D"/>
    <w:rsid w:val="008D54AD"/>
    <w:rsid w:val="008D5879"/>
    <w:rsid w:val="008D592F"/>
    <w:rsid w:val="008D5953"/>
    <w:rsid w:val="008D5B8E"/>
    <w:rsid w:val="008D5BFE"/>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7D"/>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4C6"/>
    <w:rsid w:val="008F0532"/>
    <w:rsid w:val="008F06E5"/>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66"/>
    <w:rsid w:val="008F5904"/>
    <w:rsid w:val="008F5915"/>
    <w:rsid w:val="008F5934"/>
    <w:rsid w:val="008F595E"/>
    <w:rsid w:val="008F5B57"/>
    <w:rsid w:val="008F601B"/>
    <w:rsid w:val="008F6188"/>
    <w:rsid w:val="008F6410"/>
    <w:rsid w:val="008F6442"/>
    <w:rsid w:val="008F6649"/>
    <w:rsid w:val="008F67DB"/>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766"/>
    <w:rsid w:val="009008F4"/>
    <w:rsid w:val="00900B17"/>
    <w:rsid w:val="00900B60"/>
    <w:rsid w:val="00900DDE"/>
    <w:rsid w:val="00900DF1"/>
    <w:rsid w:val="00900E2E"/>
    <w:rsid w:val="00900E2F"/>
    <w:rsid w:val="009011D3"/>
    <w:rsid w:val="009011F3"/>
    <w:rsid w:val="009012ED"/>
    <w:rsid w:val="00901837"/>
    <w:rsid w:val="00901845"/>
    <w:rsid w:val="00901C26"/>
    <w:rsid w:val="00901D57"/>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00"/>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A0B"/>
    <w:rsid w:val="00907BEE"/>
    <w:rsid w:val="00907C64"/>
    <w:rsid w:val="00907C99"/>
    <w:rsid w:val="00907F13"/>
    <w:rsid w:val="009107B9"/>
    <w:rsid w:val="00910874"/>
    <w:rsid w:val="009108A7"/>
    <w:rsid w:val="00910D47"/>
    <w:rsid w:val="00910F1F"/>
    <w:rsid w:val="0091109B"/>
    <w:rsid w:val="00911250"/>
    <w:rsid w:val="00911371"/>
    <w:rsid w:val="009114BD"/>
    <w:rsid w:val="00911A5A"/>
    <w:rsid w:val="00911CBA"/>
    <w:rsid w:val="00911D7B"/>
    <w:rsid w:val="00911E1A"/>
    <w:rsid w:val="009120A2"/>
    <w:rsid w:val="0091225D"/>
    <w:rsid w:val="009123B9"/>
    <w:rsid w:val="009126F9"/>
    <w:rsid w:val="009127B5"/>
    <w:rsid w:val="00912A63"/>
    <w:rsid w:val="00912A96"/>
    <w:rsid w:val="00912AD2"/>
    <w:rsid w:val="00912DA3"/>
    <w:rsid w:val="00912DB5"/>
    <w:rsid w:val="00912F6D"/>
    <w:rsid w:val="00912FD8"/>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BB1"/>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22C"/>
    <w:rsid w:val="00916461"/>
    <w:rsid w:val="00916495"/>
    <w:rsid w:val="00916499"/>
    <w:rsid w:val="00916A4A"/>
    <w:rsid w:val="00916ADA"/>
    <w:rsid w:val="00916D5B"/>
    <w:rsid w:val="00916EBC"/>
    <w:rsid w:val="00916F74"/>
    <w:rsid w:val="009171FD"/>
    <w:rsid w:val="009175C3"/>
    <w:rsid w:val="00917B3C"/>
    <w:rsid w:val="00917BB3"/>
    <w:rsid w:val="00917DE3"/>
    <w:rsid w:val="00917DEA"/>
    <w:rsid w:val="00917E26"/>
    <w:rsid w:val="00917E57"/>
    <w:rsid w:val="0092047E"/>
    <w:rsid w:val="00920536"/>
    <w:rsid w:val="0092078E"/>
    <w:rsid w:val="00920848"/>
    <w:rsid w:val="00920E60"/>
    <w:rsid w:val="0092132D"/>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29A6"/>
    <w:rsid w:val="00922D19"/>
    <w:rsid w:val="009230A9"/>
    <w:rsid w:val="00923151"/>
    <w:rsid w:val="009235CF"/>
    <w:rsid w:val="009237A1"/>
    <w:rsid w:val="00923821"/>
    <w:rsid w:val="00923875"/>
    <w:rsid w:val="00923AFA"/>
    <w:rsid w:val="00923B05"/>
    <w:rsid w:val="00923CDF"/>
    <w:rsid w:val="00923DC5"/>
    <w:rsid w:val="00924108"/>
    <w:rsid w:val="00924243"/>
    <w:rsid w:val="00924361"/>
    <w:rsid w:val="00924379"/>
    <w:rsid w:val="0092442C"/>
    <w:rsid w:val="00924C4B"/>
    <w:rsid w:val="00924F08"/>
    <w:rsid w:val="0092507E"/>
    <w:rsid w:val="009250C2"/>
    <w:rsid w:val="00925267"/>
    <w:rsid w:val="00925395"/>
    <w:rsid w:val="00925733"/>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322"/>
    <w:rsid w:val="00930500"/>
    <w:rsid w:val="0093063D"/>
    <w:rsid w:val="009307CF"/>
    <w:rsid w:val="00930A25"/>
    <w:rsid w:val="00930A2E"/>
    <w:rsid w:val="00930EE1"/>
    <w:rsid w:val="00930F2F"/>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2DF6"/>
    <w:rsid w:val="00933121"/>
    <w:rsid w:val="009331A7"/>
    <w:rsid w:val="00933220"/>
    <w:rsid w:val="00933481"/>
    <w:rsid w:val="009334A4"/>
    <w:rsid w:val="00933A9B"/>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59A"/>
    <w:rsid w:val="00936755"/>
    <w:rsid w:val="009367D9"/>
    <w:rsid w:val="0093694A"/>
    <w:rsid w:val="00936D07"/>
    <w:rsid w:val="009370A6"/>
    <w:rsid w:val="00937118"/>
    <w:rsid w:val="00937126"/>
    <w:rsid w:val="00937315"/>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32"/>
    <w:rsid w:val="009439DA"/>
    <w:rsid w:val="00943ADF"/>
    <w:rsid w:val="00943CBC"/>
    <w:rsid w:val="00943CEF"/>
    <w:rsid w:val="009440B9"/>
    <w:rsid w:val="009441AC"/>
    <w:rsid w:val="00944202"/>
    <w:rsid w:val="0094420E"/>
    <w:rsid w:val="00944335"/>
    <w:rsid w:val="00944371"/>
    <w:rsid w:val="0094480A"/>
    <w:rsid w:val="0094484A"/>
    <w:rsid w:val="00944850"/>
    <w:rsid w:val="00944988"/>
    <w:rsid w:val="00944A54"/>
    <w:rsid w:val="00944AF4"/>
    <w:rsid w:val="00944CA7"/>
    <w:rsid w:val="00945087"/>
    <w:rsid w:val="0094564C"/>
    <w:rsid w:val="00945769"/>
    <w:rsid w:val="00945814"/>
    <w:rsid w:val="0094581A"/>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485"/>
    <w:rsid w:val="009537A7"/>
    <w:rsid w:val="009537B7"/>
    <w:rsid w:val="009538E7"/>
    <w:rsid w:val="00953B1F"/>
    <w:rsid w:val="00953B49"/>
    <w:rsid w:val="00953C21"/>
    <w:rsid w:val="009541C2"/>
    <w:rsid w:val="009541DF"/>
    <w:rsid w:val="00954245"/>
    <w:rsid w:val="0095428E"/>
    <w:rsid w:val="009545BD"/>
    <w:rsid w:val="009546F3"/>
    <w:rsid w:val="009548C3"/>
    <w:rsid w:val="009549BE"/>
    <w:rsid w:val="00954A75"/>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5A"/>
    <w:rsid w:val="00957487"/>
    <w:rsid w:val="0095750C"/>
    <w:rsid w:val="00957599"/>
    <w:rsid w:val="00957B6B"/>
    <w:rsid w:val="00957C57"/>
    <w:rsid w:val="00957D9C"/>
    <w:rsid w:val="00957E44"/>
    <w:rsid w:val="00957E93"/>
    <w:rsid w:val="00960054"/>
    <w:rsid w:val="009603AB"/>
    <w:rsid w:val="00960475"/>
    <w:rsid w:val="00960479"/>
    <w:rsid w:val="009607AF"/>
    <w:rsid w:val="00960885"/>
    <w:rsid w:val="0096091B"/>
    <w:rsid w:val="00960A88"/>
    <w:rsid w:val="00960C68"/>
    <w:rsid w:val="00960CB6"/>
    <w:rsid w:val="00960D27"/>
    <w:rsid w:val="00961023"/>
    <w:rsid w:val="009612F1"/>
    <w:rsid w:val="0096139C"/>
    <w:rsid w:val="009614FD"/>
    <w:rsid w:val="00961673"/>
    <w:rsid w:val="009616FA"/>
    <w:rsid w:val="00961813"/>
    <w:rsid w:val="009618FC"/>
    <w:rsid w:val="009619AC"/>
    <w:rsid w:val="00961A29"/>
    <w:rsid w:val="00961A61"/>
    <w:rsid w:val="00961C9C"/>
    <w:rsid w:val="00961D8A"/>
    <w:rsid w:val="00961E6D"/>
    <w:rsid w:val="00961F21"/>
    <w:rsid w:val="0096204A"/>
    <w:rsid w:val="009621FF"/>
    <w:rsid w:val="0096226C"/>
    <w:rsid w:val="0096226E"/>
    <w:rsid w:val="00962326"/>
    <w:rsid w:val="009623CC"/>
    <w:rsid w:val="009623F3"/>
    <w:rsid w:val="00962E26"/>
    <w:rsid w:val="009630E5"/>
    <w:rsid w:val="00963681"/>
    <w:rsid w:val="00963776"/>
    <w:rsid w:val="0096392B"/>
    <w:rsid w:val="0096397B"/>
    <w:rsid w:val="00963B44"/>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7AC"/>
    <w:rsid w:val="0096580B"/>
    <w:rsid w:val="009659EA"/>
    <w:rsid w:val="00965F0B"/>
    <w:rsid w:val="0096606D"/>
    <w:rsid w:val="0096631F"/>
    <w:rsid w:val="009665D9"/>
    <w:rsid w:val="0096675C"/>
    <w:rsid w:val="0096691D"/>
    <w:rsid w:val="00966EC4"/>
    <w:rsid w:val="0096713E"/>
    <w:rsid w:val="009672B0"/>
    <w:rsid w:val="009673C2"/>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EAB"/>
    <w:rsid w:val="00970F7A"/>
    <w:rsid w:val="00970FE3"/>
    <w:rsid w:val="0097105A"/>
    <w:rsid w:val="009714E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38"/>
    <w:rsid w:val="00972BB7"/>
    <w:rsid w:val="00972C06"/>
    <w:rsid w:val="00972F20"/>
    <w:rsid w:val="00972F4C"/>
    <w:rsid w:val="00972FEB"/>
    <w:rsid w:val="00973254"/>
    <w:rsid w:val="00973257"/>
    <w:rsid w:val="00973279"/>
    <w:rsid w:val="00973388"/>
    <w:rsid w:val="00973754"/>
    <w:rsid w:val="009737A7"/>
    <w:rsid w:val="0097383E"/>
    <w:rsid w:val="009738E5"/>
    <w:rsid w:val="00973A69"/>
    <w:rsid w:val="00973A8E"/>
    <w:rsid w:val="00973DA0"/>
    <w:rsid w:val="00973F29"/>
    <w:rsid w:val="00974182"/>
    <w:rsid w:val="00974260"/>
    <w:rsid w:val="00974323"/>
    <w:rsid w:val="009744FF"/>
    <w:rsid w:val="00974520"/>
    <w:rsid w:val="009745F0"/>
    <w:rsid w:val="009746CC"/>
    <w:rsid w:val="009747AB"/>
    <w:rsid w:val="00974B87"/>
    <w:rsid w:val="00974B9F"/>
    <w:rsid w:val="00974C46"/>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D24"/>
    <w:rsid w:val="00975D2B"/>
    <w:rsid w:val="00975F2B"/>
    <w:rsid w:val="00976351"/>
    <w:rsid w:val="00976449"/>
    <w:rsid w:val="009765BE"/>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1BFB"/>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B85"/>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CB"/>
    <w:rsid w:val="00985EE7"/>
    <w:rsid w:val="0098621D"/>
    <w:rsid w:val="009864ED"/>
    <w:rsid w:val="00986633"/>
    <w:rsid w:val="00986956"/>
    <w:rsid w:val="00986B05"/>
    <w:rsid w:val="00986B31"/>
    <w:rsid w:val="00986B60"/>
    <w:rsid w:val="009873AF"/>
    <w:rsid w:val="009875A6"/>
    <w:rsid w:val="009876A0"/>
    <w:rsid w:val="00987764"/>
    <w:rsid w:val="0098781F"/>
    <w:rsid w:val="009879B5"/>
    <w:rsid w:val="009879F4"/>
    <w:rsid w:val="00987A56"/>
    <w:rsid w:val="00987ACF"/>
    <w:rsid w:val="00987C19"/>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1D9"/>
    <w:rsid w:val="009922CA"/>
    <w:rsid w:val="00992624"/>
    <w:rsid w:val="00992753"/>
    <w:rsid w:val="009927C4"/>
    <w:rsid w:val="009928A6"/>
    <w:rsid w:val="009929D3"/>
    <w:rsid w:val="00992A4E"/>
    <w:rsid w:val="00992A9B"/>
    <w:rsid w:val="00992B1A"/>
    <w:rsid w:val="00992F78"/>
    <w:rsid w:val="00993075"/>
    <w:rsid w:val="009930C0"/>
    <w:rsid w:val="0099324C"/>
    <w:rsid w:val="009933C9"/>
    <w:rsid w:val="00993438"/>
    <w:rsid w:val="00993627"/>
    <w:rsid w:val="0099367D"/>
    <w:rsid w:val="009936A1"/>
    <w:rsid w:val="009936F0"/>
    <w:rsid w:val="0099385C"/>
    <w:rsid w:val="00993DA9"/>
    <w:rsid w:val="00993F4A"/>
    <w:rsid w:val="009942BA"/>
    <w:rsid w:val="00994A9D"/>
    <w:rsid w:val="00994D1E"/>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CC2"/>
    <w:rsid w:val="009A3D42"/>
    <w:rsid w:val="009A3FD4"/>
    <w:rsid w:val="009A40CE"/>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14"/>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3B"/>
    <w:rsid w:val="009B52A1"/>
    <w:rsid w:val="009B52FB"/>
    <w:rsid w:val="009B53A0"/>
    <w:rsid w:val="009B54DF"/>
    <w:rsid w:val="009B5821"/>
    <w:rsid w:val="009B5A62"/>
    <w:rsid w:val="009B636B"/>
    <w:rsid w:val="009B6901"/>
    <w:rsid w:val="009B6AF1"/>
    <w:rsid w:val="009B6D30"/>
    <w:rsid w:val="009B70E9"/>
    <w:rsid w:val="009B72A8"/>
    <w:rsid w:val="009B7487"/>
    <w:rsid w:val="009B7564"/>
    <w:rsid w:val="009B79AC"/>
    <w:rsid w:val="009B7BB7"/>
    <w:rsid w:val="009B7BC4"/>
    <w:rsid w:val="009B7E56"/>
    <w:rsid w:val="009B7FD3"/>
    <w:rsid w:val="009B7FFA"/>
    <w:rsid w:val="009C00EF"/>
    <w:rsid w:val="009C0BC1"/>
    <w:rsid w:val="009C0CF1"/>
    <w:rsid w:val="009C0D26"/>
    <w:rsid w:val="009C0D72"/>
    <w:rsid w:val="009C0DBE"/>
    <w:rsid w:val="009C0EA0"/>
    <w:rsid w:val="009C0F85"/>
    <w:rsid w:val="009C1093"/>
    <w:rsid w:val="009C14D4"/>
    <w:rsid w:val="009C14DE"/>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01"/>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CCF"/>
    <w:rsid w:val="009C5D26"/>
    <w:rsid w:val="009C5D81"/>
    <w:rsid w:val="009C5E4C"/>
    <w:rsid w:val="009C6142"/>
    <w:rsid w:val="009C63D0"/>
    <w:rsid w:val="009C6582"/>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422"/>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D7CF1"/>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302"/>
    <w:rsid w:val="009E176B"/>
    <w:rsid w:val="009E195A"/>
    <w:rsid w:val="009E1CF0"/>
    <w:rsid w:val="009E1E2C"/>
    <w:rsid w:val="009E1F70"/>
    <w:rsid w:val="009E1FC6"/>
    <w:rsid w:val="009E2104"/>
    <w:rsid w:val="009E21A4"/>
    <w:rsid w:val="009E223B"/>
    <w:rsid w:val="009E248F"/>
    <w:rsid w:val="009E24EB"/>
    <w:rsid w:val="009E251E"/>
    <w:rsid w:val="009E2578"/>
    <w:rsid w:val="009E27F2"/>
    <w:rsid w:val="009E2BE6"/>
    <w:rsid w:val="009E2DD3"/>
    <w:rsid w:val="009E2EAE"/>
    <w:rsid w:val="009E2F20"/>
    <w:rsid w:val="009E2F97"/>
    <w:rsid w:val="009E32BB"/>
    <w:rsid w:val="009E3351"/>
    <w:rsid w:val="009E3493"/>
    <w:rsid w:val="009E3540"/>
    <w:rsid w:val="009E3644"/>
    <w:rsid w:val="009E3790"/>
    <w:rsid w:val="009E3917"/>
    <w:rsid w:val="009E3A41"/>
    <w:rsid w:val="009E3C31"/>
    <w:rsid w:val="009E3C51"/>
    <w:rsid w:val="009E3CE3"/>
    <w:rsid w:val="009E4277"/>
    <w:rsid w:val="009E43B1"/>
    <w:rsid w:val="009E457F"/>
    <w:rsid w:val="009E45D6"/>
    <w:rsid w:val="009E4881"/>
    <w:rsid w:val="009E4AF3"/>
    <w:rsid w:val="009E4F3F"/>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7A7"/>
    <w:rsid w:val="009E6910"/>
    <w:rsid w:val="009E69C1"/>
    <w:rsid w:val="009E6A64"/>
    <w:rsid w:val="009E6BFC"/>
    <w:rsid w:val="009E6D6C"/>
    <w:rsid w:val="009E6FBA"/>
    <w:rsid w:val="009E6FC8"/>
    <w:rsid w:val="009E704E"/>
    <w:rsid w:val="009E7789"/>
    <w:rsid w:val="009E77B5"/>
    <w:rsid w:val="009E7A98"/>
    <w:rsid w:val="009E7CC5"/>
    <w:rsid w:val="009E7D06"/>
    <w:rsid w:val="009E7DC1"/>
    <w:rsid w:val="009E7DCE"/>
    <w:rsid w:val="009E7E9B"/>
    <w:rsid w:val="009E7FDA"/>
    <w:rsid w:val="009F0258"/>
    <w:rsid w:val="009F02E1"/>
    <w:rsid w:val="009F0355"/>
    <w:rsid w:val="009F0366"/>
    <w:rsid w:val="009F0446"/>
    <w:rsid w:val="009F04AD"/>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3BC8"/>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56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DD"/>
    <w:rsid w:val="00A02B26"/>
    <w:rsid w:val="00A02BEC"/>
    <w:rsid w:val="00A02C96"/>
    <w:rsid w:val="00A02D52"/>
    <w:rsid w:val="00A02DF8"/>
    <w:rsid w:val="00A02FBC"/>
    <w:rsid w:val="00A033E6"/>
    <w:rsid w:val="00A0346B"/>
    <w:rsid w:val="00A0349A"/>
    <w:rsid w:val="00A034DC"/>
    <w:rsid w:val="00A035BE"/>
    <w:rsid w:val="00A038E3"/>
    <w:rsid w:val="00A03929"/>
    <w:rsid w:val="00A03945"/>
    <w:rsid w:val="00A0396A"/>
    <w:rsid w:val="00A03A1D"/>
    <w:rsid w:val="00A03DF1"/>
    <w:rsid w:val="00A043B9"/>
    <w:rsid w:val="00A0443D"/>
    <w:rsid w:val="00A04481"/>
    <w:rsid w:val="00A04541"/>
    <w:rsid w:val="00A04583"/>
    <w:rsid w:val="00A0476E"/>
    <w:rsid w:val="00A04A92"/>
    <w:rsid w:val="00A04AED"/>
    <w:rsid w:val="00A04B39"/>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92"/>
    <w:rsid w:val="00A13A7F"/>
    <w:rsid w:val="00A13B10"/>
    <w:rsid w:val="00A13CB4"/>
    <w:rsid w:val="00A13CF1"/>
    <w:rsid w:val="00A13DD2"/>
    <w:rsid w:val="00A13DE2"/>
    <w:rsid w:val="00A1410F"/>
    <w:rsid w:val="00A1431F"/>
    <w:rsid w:val="00A14348"/>
    <w:rsid w:val="00A145D0"/>
    <w:rsid w:val="00A146B4"/>
    <w:rsid w:val="00A147BB"/>
    <w:rsid w:val="00A14911"/>
    <w:rsid w:val="00A14964"/>
    <w:rsid w:val="00A14B4D"/>
    <w:rsid w:val="00A14F8D"/>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8"/>
    <w:rsid w:val="00A1797A"/>
    <w:rsid w:val="00A179CC"/>
    <w:rsid w:val="00A17C30"/>
    <w:rsid w:val="00A17D23"/>
    <w:rsid w:val="00A17E72"/>
    <w:rsid w:val="00A17FA0"/>
    <w:rsid w:val="00A20075"/>
    <w:rsid w:val="00A20158"/>
    <w:rsid w:val="00A20186"/>
    <w:rsid w:val="00A201BF"/>
    <w:rsid w:val="00A2021C"/>
    <w:rsid w:val="00A20232"/>
    <w:rsid w:val="00A205BF"/>
    <w:rsid w:val="00A205D4"/>
    <w:rsid w:val="00A207E7"/>
    <w:rsid w:val="00A20961"/>
    <w:rsid w:val="00A20D2F"/>
    <w:rsid w:val="00A20FAF"/>
    <w:rsid w:val="00A2104B"/>
    <w:rsid w:val="00A2104C"/>
    <w:rsid w:val="00A210E9"/>
    <w:rsid w:val="00A21210"/>
    <w:rsid w:val="00A212D6"/>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6EE"/>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9B"/>
    <w:rsid w:val="00A308DA"/>
    <w:rsid w:val="00A30A3E"/>
    <w:rsid w:val="00A30AB8"/>
    <w:rsid w:val="00A30BAE"/>
    <w:rsid w:val="00A30C70"/>
    <w:rsid w:val="00A30C7A"/>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9C"/>
    <w:rsid w:val="00A329BB"/>
    <w:rsid w:val="00A32BE5"/>
    <w:rsid w:val="00A32C37"/>
    <w:rsid w:val="00A33073"/>
    <w:rsid w:val="00A330EE"/>
    <w:rsid w:val="00A3331F"/>
    <w:rsid w:val="00A333B0"/>
    <w:rsid w:val="00A334F0"/>
    <w:rsid w:val="00A33866"/>
    <w:rsid w:val="00A3393A"/>
    <w:rsid w:val="00A33BDE"/>
    <w:rsid w:val="00A33C4C"/>
    <w:rsid w:val="00A33D5C"/>
    <w:rsid w:val="00A33F2B"/>
    <w:rsid w:val="00A343B2"/>
    <w:rsid w:val="00A3440C"/>
    <w:rsid w:val="00A3449E"/>
    <w:rsid w:val="00A344B4"/>
    <w:rsid w:val="00A345B2"/>
    <w:rsid w:val="00A345DB"/>
    <w:rsid w:val="00A34685"/>
    <w:rsid w:val="00A3471E"/>
    <w:rsid w:val="00A34BEB"/>
    <w:rsid w:val="00A34C37"/>
    <w:rsid w:val="00A34DA0"/>
    <w:rsid w:val="00A34DED"/>
    <w:rsid w:val="00A34E1A"/>
    <w:rsid w:val="00A34FDC"/>
    <w:rsid w:val="00A3518F"/>
    <w:rsid w:val="00A35195"/>
    <w:rsid w:val="00A35255"/>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AF"/>
    <w:rsid w:val="00A37CFA"/>
    <w:rsid w:val="00A37E05"/>
    <w:rsid w:val="00A37E15"/>
    <w:rsid w:val="00A4008E"/>
    <w:rsid w:val="00A404AC"/>
    <w:rsid w:val="00A40531"/>
    <w:rsid w:val="00A40660"/>
    <w:rsid w:val="00A40865"/>
    <w:rsid w:val="00A40C1E"/>
    <w:rsid w:val="00A40E1F"/>
    <w:rsid w:val="00A41016"/>
    <w:rsid w:val="00A411CF"/>
    <w:rsid w:val="00A4133F"/>
    <w:rsid w:val="00A41384"/>
    <w:rsid w:val="00A4144C"/>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3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D03"/>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FAD"/>
    <w:rsid w:val="00A47406"/>
    <w:rsid w:val="00A4782D"/>
    <w:rsid w:val="00A47968"/>
    <w:rsid w:val="00A47B4B"/>
    <w:rsid w:val="00A47B4D"/>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F3E"/>
    <w:rsid w:val="00A5217A"/>
    <w:rsid w:val="00A521E0"/>
    <w:rsid w:val="00A523B2"/>
    <w:rsid w:val="00A52408"/>
    <w:rsid w:val="00A5246C"/>
    <w:rsid w:val="00A524C8"/>
    <w:rsid w:val="00A52733"/>
    <w:rsid w:val="00A52872"/>
    <w:rsid w:val="00A5291D"/>
    <w:rsid w:val="00A529F5"/>
    <w:rsid w:val="00A52A37"/>
    <w:rsid w:val="00A52ABC"/>
    <w:rsid w:val="00A52EDB"/>
    <w:rsid w:val="00A531C2"/>
    <w:rsid w:val="00A532E0"/>
    <w:rsid w:val="00A53606"/>
    <w:rsid w:val="00A53A0E"/>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18A"/>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3"/>
    <w:rsid w:val="00A61828"/>
    <w:rsid w:val="00A61879"/>
    <w:rsid w:val="00A6189D"/>
    <w:rsid w:val="00A61B8D"/>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DE1"/>
    <w:rsid w:val="00A64DF3"/>
    <w:rsid w:val="00A64EB1"/>
    <w:rsid w:val="00A64EE9"/>
    <w:rsid w:val="00A65417"/>
    <w:rsid w:val="00A655C8"/>
    <w:rsid w:val="00A6563A"/>
    <w:rsid w:val="00A657CF"/>
    <w:rsid w:val="00A65887"/>
    <w:rsid w:val="00A65C72"/>
    <w:rsid w:val="00A65CEB"/>
    <w:rsid w:val="00A65DB4"/>
    <w:rsid w:val="00A65E73"/>
    <w:rsid w:val="00A65F12"/>
    <w:rsid w:val="00A65FBF"/>
    <w:rsid w:val="00A662B5"/>
    <w:rsid w:val="00A6636E"/>
    <w:rsid w:val="00A66766"/>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AA"/>
    <w:rsid w:val="00A67AC6"/>
    <w:rsid w:val="00A67E3E"/>
    <w:rsid w:val="00A70061"/>
    <w:rsid w:val="00A7014A"/>
    <w:rsid w:val="00A70165"/>
    <w:rsid w:val="00A70A35"/>
    <w:rsid w:val="00A70B01"/>
    <w:rsid w:val="00A70C9C"/>
    <w:rsid w:val="00A70E49"/>
    <w:rsid w:val="00A71209"/>
    <w:rsid w:val="00A71272"/>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2"/>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2DC"/>
    <w:rsid w:val="00A77325"/>
    <w:rsid w:val="00A7735F"/>
    <w:rsid w:val="00A77542"/>
    <w:rsid w:val="00A77918"/>
    <w:rsid w:val="00A77BA8"/>
    <w:rsid w:val="00A77C78"/>
    <w:rsid w:val="00A77F15"/>
    <w:rsid w:val="00A804FB"/>
    <w:rsid w:val="00A806D6"/>
    <w:rsid w:val="00A8083A"/>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D35"/>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DAF"/>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DB3"/>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351"/>
    <w:rsid w:val="00A934FE"/>
    <w:rsid w:val="00A9378F"/>
    <w:rsid w:val="00A93800"/>
    <w:rsid w:val="00A938E5"/>
    <w:rsid w:val="00A93942"/>
    <w:rsid w:val="00A93956"/>
    <w:rsid w:val="00A93A25"/>
    <w:rsid w:val="00A93AF5"/>
    <w:rsid w:val="00A93B1E"/>
    <w:rsid w:val="00A93BDA"/>
    <w:rsid w:val="00A93C2F"/>
    <w:rsid w:val="00A93E34"/>
    <w:rsid w:val="00A93EB3"/>
    <w:rsid w:val="00A93F8B"/>
    <w:rsid w:val="00A93FAE"/>
    <w:rsid w:val="00A93FCC"/>
    <w:rsid w:val="00A94373"/>
    <w:rsid w:val="00A946E6"/>
    <w:rsid w:val="00A948C9"/>
    <w:rsid w:val="00A94A70"/>
    <w:rsid w:val="00A94BB8"/>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4C"/>
    <w:rsid w:val="00A97DB2"/>
    <w:rsid w:val="00A97DBD"/>
    <w:rsid w:val="00A97EF9"/>
    <w:rsid w:val="00A97FE7"/>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97E"/>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93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8D4"/>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CAE"/>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365"/>
    <w:rsid w:val="00AB642C"/>
    <w:rsid w:val="00AB644A"/>
    <w:rsid w:val="00AB6458"/>
    <w:rsid w:val="00AB657D"/>
    <w:rsid w:val="00AB6745"/>
    <w:rsid w:val="00AB6A1F"/>
    <w:rsid w:val="00AB6CA0"/>
    <w:rsid w:val="00AB6DBF"/>
    <w:rsid w:val="00AB6EAA"/>
    <w:rsid w:val="00AB6FBD"/>
    <w:rsid w:val="00AB6FDD"/>
    <w:rsid w:val="00AB71B7"/>
    <w:rsid w:val="00AB76D5"/>
    <w:rsid w:val="00AB775D"/>
    <w:rsid w:val="00AB7787"/>
    <w:rsid w:val="00AB7860"/>
    <w:rsid w:val="00AB78AC"/>
    <w:rsid w:val="00AB78DD"/>
    <w:rsid w:val="00AB7913"/>
    <w:rsid w:val="00AB7ADF"/>
    <w:rsid w:val="00AC0169"/>
    <w:rsid w:val="00AC0357"/>
    <w:rsid w:val="00AC0529"/>
    <w:rsid w:val="00AC06E7"/>
    <w:rsid w:val="00AC0C75"/>
    <w:rsid w:val="00AC0CC3"/>
    <w:rsid w:val="00AC0EC8"/>
    <w:rsid w:val="00AC117F"/>
    <w:rsid w:val="00AC1281"/>
    <w:rsid w:val="00AC1B3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2A8"/>
    <w:rsid w:val="00AC338D"/>
    <w:rsid w:val="00AC3415"/>
    <w:rsid w:val="00AC3431"/>
    <w:rsid w:val="00AC3566"/>
    <w:rsid w:val="00AC37B9"/>
    <w:rsid w:val="00AC37FD"/>
    <w:rsid w:val="00AC38E9"/>
    <w:rsid w:val="00AC3B9D"/>
    <w:rsid w:val="00AC3BA2"/>
    <w:rsid w:val="00AC3D70"/>
    <w:rsid w:val="00AC3D85"/>
    <w:rsid w:val="00AC402C"/>
    <w:rsid w:val="00AC40C7"/>
    <w:rsid w:val="00AC4150"/>
    <w:rsid w:val="00AC423F"/>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A95"/>
    <w:rsid w:val="00AC5B26"/>
    <w:rsid w:val="00AC5C2A"/>
    <w:rsid w:val="00AC5CAB"/>
    <w:rsid w:val="00AC5D67"/>
    <w:rsid w:val="00AC5FCC"/>
    <w:rsid w:val="00AC61B3"/>
    <w:rsid w:val="00AC627F"/>
    <w:rsid w:val="00AC62CA"/>
    <w:rsid w:val="00AC63F4"/>
    <w:rsid w:val="00AC6571"/>
    <w:rsid w:val="00AC6710"/>
    <w:rsid w:val="00AC671B"/>
    <w:rsid w:val="00AC6786"/>
    <w:rsid w:val="00AC6992"/>
    <w:rsid w:val="00AC706B"/>
    <w:rsid w:val="00AC7327"/>
    <w:rsid w:val="00AC7470"/>
    <w:rsid w:val="00AC74C2"/>
    <w:rsid w:val="00AC771B"/>
    <w:rsid w:val="00AC7DE9"/>
    <w:rsid w:val="00AC7ED4"/>
    <w:rsid w:val="00AC7F9E"/>
    <w:rsid w:val="00AC7FC2"/>
    <w:rsid w:val="00AD00AF"/>
    <w:rsid w:val="00AD02CC"/>
    <w:rsid w:val="00AD0630"/>
    <w:rsid w:val="00AD07F1"/>
    <w:rsid w:val="00AD0874"/>
    <w:rsid w:val="00AD08D3"/>
    <w:rsid w:val="00AD09A7"/>
    <w:rsid w:val="00AD12BD"/>
    <w:rsid w:val="00AD163D"/>
    <w:rsid w:val="00AD1860"/>
    <w:rsid w:val="00AD1995"/>
    <w:rsid w:val="00AD1B21"/>
    <w:rsid w:val="00AD1D7D"/>
    <w:rsid w:val="00AD1DA7"/>
    <w:rsid w:val="00AD1DFE"/>
    <w:rsid w:val="00AD1E36"/>
    <w:rsid w:val="00AD1F06"/>
    <w:rsid w:val="00AD2228"/>
    <w:rsid w:val="00AD227E"/>
    <w:rsid w:val="00AD23E9"/>
    <w:rsid w:val="00AD2596"/>
    <w:rsid w:val="00AD268A"/>
    <w:rsid w:val="00AD2800"/>
    <w:rsid w:val="00AD282F"/>
    <w:rsid w:val="00AD284F"/>
    <w:rsid w:val="00AD288C"/>
    <w:rsid w:val="00AD2A38"/>
    <w:rsid w:val="00AD2ACB"/>
    <w:rsid w:val="00AD2BB4"/>
    <w:rsid w:val="00AD2CFB"/>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4E38"/>
    <w:rsid w:val="00AD5105"/>
    <w:rsid w:val="00AD5241"/>
    <w:rsid w:val="00AD5673"/>
    <w:rsid w:val="00AD574E"/>
    <w:rsid w:val="00AD57E1"/>
    <w:rsid w:val="00AD5925"/>
    <w:rsid w:val="00AD5949"/>
    <w:rsid w:val="00AD5958"/>
    <w:rsid w:val="00AD653F"/>
    <w:rsid w:val="00AD65EE"/>
    <w:rsid w:val="00AD6707"/>
    <w:rsid w:val="00AD6980"/>
    <w:rsid w:val="00AD6C09"/>
    <w:rsid w:val="00AD6C7F"/>
    <w:rsid w:val="00AD6ED7"/>
    <w:rsid w:val="00AD6F42"/>
    <w:rsid w:val="00AD70C9"/>
    <w:rsid w:val="00AD72B9"/>
    <w:rsid w:val="00AD732B"/>
    <w:rsid w:val="00AD75A6"/>
    <w:rsid w:val="00AD7716"/>
    <w:rsid w:val="00AD7753"/>
    <w:rsid w:val="00AD7927"/>
    <w:rsid w:val="00AD7BAC"/>
    <w:rsid w:val="00AD7E17"/>
    <w:rsid w:val="00AE0160"/>
    <w:rsid w:val="00AE0356"/>
    <w:rsid w:val="00AE0683"/>
    <w:rsid w:val="00AE0703"/>
    <w:rsid w:val="00AE0CF1"/>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304"/>
    <w:rsid w:val="00AE3573"/>
    <w:rsid w:val="00AE3627"/>
    <w:rsid w:val="00AE37B9"/>
    <w:rsid w:val="00AE3839"/>
    <w:rsid w:val="00AE3A36"/>
    <w:rsid w:val="00AE3A41"/>
    <w:rsid w:val="00AE3A74"/>
    <w:rsid w:val="00AE3AF4"/>
    <w:rsid w:val="00AE3E80"/>
    <w:rsid w:val="00AE42D1"/>
    <w:rsid w:val="00AE450B"/>
    <w:rsid w:val="00AE4557"/>
    <w:rsid w:val="00AE458F"/>
    <w:rsid w:val="00AE47A1"/>
    <w:rsid w:val="00AE48F9"/>
    <w:rsid w:val="00AE4A0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395"/>
    <w:rsid w:val="00AE743C"/>
    <w:rsid w:val="00AE756A"/>
    <w:rsid w:val="00AE773B"/>
    <w:rsid w:val="00AE7751"/>
    <w:rsid w:val="00AE779C"/>
    <w:rsid w:val="00AE780C"/>
    <w:rsid w:val="00AE7992"/>
    <w:rsid w:val="00AE79D9"/>
    <w:rsid w:val="00AE7D15"/>
    <w:rsid w:val="00AE7DA5"/>
    <w:rsid w:val="00AE7EF7"/>
    <w:rsid w:val="00AF03CD"/>
    <w:rsid w:val="00AF045F"/>
    <w:rsid w:val="00AF04BC"/>
    <w:rsid w:val="00AF067B"/>
    <w:rsid w:val="00AF096E"/>
    <w:rsid w:val="00AF0C4E"/>
    <w:rsid w:val="00AF0F2D"/>
    <w:rsid w:val="00AF0FFE"/>
    <w:rsid w:val="00AF1018"/>
    <w:rsid w:val="00AF1069"/>
    <w:rsid w:val="00AF106E"/>
    <w:rsid w:val="00AF140F"/>
    <w:rsid w:val="00AF1414"/>
    <w:rsid w:val="00AF152C"/>
    <w:rsid w:val="00AF15C3"/>
    <w:rsid w:val="00AF1654"/>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E3B"/>
    <w:rsid w:val="00AF4095"/>
    <w:rsid w:val="00AF41FC"/>
    <w:rsid w:val="00AF4371"/>
    <w:rsid w:val="00AF4447"/>
    <w:rsid w:val="00AF457C"/>
    <w:rsid w:val="00AF4670"/>
    <w:rsid w:val="00AF4743"/>
    <w:rsid w:val="00AF492A"/>
    <w:rsid w:val="00AF4999"/>
    <w:rsid w:val="00AF4ABD"/>
    <w:rsid w:val="00AF4D0E"/>
    <w:rsid w:val="00AF4D3E"/>
    <w:rsid w:val="00AF4DF1"/>
    <w:rsid w:val="00AF4FEC"/>
    <w:rsid w:val="00AF522B"/>
    <w:rsid w:val="00AF5363"/>
    <w:rsid w:val="00AF55C6"/>
    <w:rsid w:val="00AF55D7"/>
    <w:rsid w:val="00AF5A75"/>
    <w:rsid w:val="00AF5AB1"/>
    <w:rsid w:val="00AF5DAE"/>
    <w:rsid w:val="00AF5F78"/>
    <w:rsid w:val="00AF6040"/>
    <w:rsid w:val="00AF61A6"/>
    <w:rsid w:val="00AF63A9"/>
    <w:rsid w:val="00AF641E"/>
    <w:rsid w:val="00AF6561"/>
    <w:rsid w:val="00AF6591"/>
    <w:rsid w:val="00AF6655"/>
    <w:rsid w:val="00AF66F1"/>
    <w:rsid w:val="00AF6A76"/>
    <w:rsid w:val="00AF6B1B"/>
    <w:rsid w:val="00AF6BFF"/>
    <w:rsid w:val="00AF6C87"/>
    <w:rsid w:val="00AF6C8D"/>
    <w:rsid w:val="00AF6D88"/>
    <w:rsid w:val="00AF6EAA"/>
    <w:rsid w:val="00AF6EAF"/>
    <w:rsid w:val="00AF7363"/>
    <w:rsid w:val="00AF738A"/>
    <w:rsid w:val="00AF771B"/>
    <w:rsid w:val="00AF79FD"/>
    <w:rsid w:val="00AF7C5E"/>
    <w:rsid w:val="00AF7D5F"/>
    <w:rsid w:val="00AF7F09"/>
    <w:rsid w:val="00AF7F0E"/>
    <w:rsid w:val="00B000F2"/>
    <w:rsid w:val="00B002BA"/>
    <w:rsid w:val="00B00306"/>
    <w:rsid w:val="00B0081D"/>
    <w:rsid w:val="00B00AD1"/>
    <w:rsid w:val="00B00D62"/>
    <w:rsid w:val="00B00E12"/>
    <w:rsid w:val="00B01058"/>
    <w:rsid w:val="00B010D3"/>
    <w:rsid w:val="00B0144A"/>
    <w:rsid w:val="00B0162B"/>
    <w:rsid w:val="00B0176D"/>
    <w:rsid w:val="00B01AB1"/>
    <w:rsid w:val="00B01B0C"/>
    <w:rsid w:val="00B01C07"/>
    <w:rsid w:val="00B01CC2"/>
    <w:rsid w:val="00B01EE6"/>
    <w:rsid w:val="00B01F0D"/>
    <w:rsid w:val="00B02014"/>
    <w:rsid w:val="00B020A8"/>
    <w:rsid w:val="00B0226D"/>
    <w:rsid w:val="00B023FC"/>
    <w:rsid w:val="00B02449"/>
    <w:rsid w:val="00B0250A"/>
    <w:rsid w:val="00B02620"/>
    <w:rsid w:val="00B0263D"/>
    <w:rsid w:val="00B026CF"/>
    <w:rsid w:val="00B02A4C"/>
    <w:rsid w:val="00B02AD0"/>
    <w:rsid w:val="00B03101"/>
    <w:rsid w:val="00B0317A"/>
    <w:rsid w:val="00B031B4"/>
    <w:rsid w:val="00B032F8"/>
    <w:rsid w:val="00B03347"/>
    <w:rsid w:val="00B0389B"/>
    <w:rsid w:val="00B039CE"/>
    <w:rsid w:val="00B03BB8"/>
    <w:rsid w:val="00B03D26"/>
    <w:rsid w:val="00B03EFB"/>
    <w:rsid w:val="00B03F34"/>
    <w:rsid w:val="00B03FA0"/>
    <w:rsid w:val="00B040E3"/>
    <w:rsid w:val="00B0412B"/>
    <w:rsid w:val="00B043BA"/>
    <w:rsid w:val="00B04879"/>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5F81"/>
    <w:rsid w:val="00B06086"/>
    <w:rsid w:val="00B06696"/>
    <w:rsid w:val="00B066BC"/>
    <w:rsid w:val="00B066FE"/>
    <w:rsid w:val="00B06771"/>
    <w:rsid w:val="00B06A26"/>
    <w:rsid w:val="00B06C77"/>
    <w:rsid w:val="00B06CBC"/>
    <w:rsid w:val="00B06FF3"/>
    <w:rsid w:val="00B0702E"/>
    <w:rsid w:val="00B071BE"/>
    <w:rsid w:val="00B07282"/>
    <w:rsid w:val="00B07390"/>
    <w:rsid w:val="00B073F0"/>
    <w:rsid w:val="00B0745B"/>
    <w:rsid w:val="00B0759A"/>
    <w:rsid w:val="00B075EC"/>
    <w:rsid w:val="00B07683"/>
    <w:rsid w:val="00B076A7"/>
    <w:rsid w:val="00B076C4"/>
    <w:rsid w:val="00B07745"/>
    <w:rsid w:val="00B07821"/>
    <w:rsid w:val="00B07A16"/>
    <w:rsid w:val="00B07B00"/>
    <w:rsid w:val="00B07CBE"/>
    <w:rsid w:val="00B100B3"/>
    <w:rsid w:val="00B10103"/>
    <w:rsid w:val="00B105B6"/>
    <w:rsid w:val="00B105EE"/>
    <w:rsid w:val="00B105F5"/>
    <w:rsid w:val="00B107BF"/>
    <w:rsid w:val="00B108ED"/>
    <w:rsid w:val="00B10931"/>
    <w:rsid w:val="00B1093D"/>
    <w:rsid w:val="00B1099D"/>
    <w:rsid w:val="00B10A4F"/>
    <w:rsid w:val="00B10BE8"/>
    <w:rsid w:val="00B10CA2"/>
    <w:rsid w:val="00B10D69"/>
    <w:rsid w:val="00B10DF3"/>
    <w:rsid w:val="00B10FA8"/>
    <w:rsid w:val="00B1111E"/>
    <w:rsid w:val="00B1125F"/>
    <w:rsid w:val="00B114B1"/>
    <w:rsid w:val="00B1167A"/>
    <w:rsid w:val="00B11882"/>
    <w:rsid w:val="00B119F2"/>
    <w:rsid w:val="00B11B8F"/>
    <w:rsid w:val="00B11C32"/>
    <w:rsid w:val="00B11C51"/>
    <w:rsid w:val="00B11E29"/>
    <w:rsid w:val="00B11E38"/>
    <w:rsid w:val="00B11EE6"/>
    <w:rsid w:val="00B121CE"/>
    <w:rsid w:val="00B1226C"/>
    <w:rsid w:val="00B122BA"/>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F1F"/>
    <w:rsid w:val="00B14251"/>
    <w:rsid w:val="00B147C8"/>
    <w:rsid w:val="00B147CC"/>
    <w:rsid w:val="00B14953"/>
    <w:rsid w:val="00B149C5"/>
    <w:rsid w:val="00B14CF3"/>
    <w:rsid w:val="00B14E38"/>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04C"/>
    <w:rsid w:val="00B16342"/>
    <w:rsid w:val="00B16616"/>
    <w:rsid w:val="00B16815"/>
    <w:rsid w:val="00B1695A"/>
    <w:rsid w:val="00B16A37"/>
    <w:rsid w:val="00B16ACA"/>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5DB"/>
    <w:rsid w:val="00B20778"/>
    <w:rsid w:val="00B20AFC"/>
    <w:rsid w:val="00B20C59"/>
    <w:rsid w:val="00B20CD7"/>
    <w:rsid w:val="00B20E2B"/>
    <w:rsid w:val="00B20E33"/>
    <w:rsid w:val="00B20F3D"/>
    <w:rsid w:val="00B21016"/>
    <w:rsid w:val="00B211B1"/>
    <w:rsid w:val="00B2137A"/>
    <w:rsid w:val="00B21423"/>
    <w:rsid w:val="00B214C0"/>
    <w:rsid w:val="00B2156F"/>
    <w:rsid w:val="00B215F9"/>
    <w:rsid w:val="00B216D7"/>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2FFC"/>
    <w:rsid w:val="00B232CB"/>
    <w:rsid w:val="00B233A9"/>
    <w:rsid w:val="00B237E7"/>
    <w:rsid w:val="00B239CC"/>
    <w:rsid w:val="00B23B66"/>
    <w:rsid w:val="00B23C57"/>
    <w:rsid w:val="00B23E2E"/>
    <w:rsid w:val="00B23EFF"/>
    <w:rsid w:val="00B23F25"/>
    <w:rsid w:val="00B243FF"/>
    <w:rsid w:val="00B24491"/>
    <w:rsid w:val="00B24590"/>
    <w:rsid w:val="00B245DC"/>
    <w:rsid w:val="00B24800"/>
    <w:rsid w:val="00B2496A"/>
    <w:rsid w:val="00B24F49"/>
    <w:rsid w:val="00B25042"/>
    <w:rsid w:val="00B2528D"/>
    <w:rsid w:val="00B2533B"/>
    <w:rsid w:val="00B25370"/>
    <w:rsid w:val="00B25380"/>
    <w:rsid w:val="00B253F0"/>
    <w:rsid w:val="00B25585"/>
    <w:rsid w:val="00B2571D"/>
    <w:rsid w:val="00B2575E"/>
    <w:rsid w:val="00B25996"/>
    <w:rsid w:val="00B25A0E"/>
    <w:rsid w:val="00B25A70"/>
    <w:rsid w:val="00B25BD8"/>
    <w:rsid w:val="00B25E1D"/>
    <w:rsid w:val="00B25F0C"/>
    <w:rsid w:val="00B25F9A"/>
    <w:rsid w:val="00B26085"/>
    <w:rsid w:val="00B2613A"/>
    <w:rsid w:val="00B263BE"/>
    <w:rsid w:val="00B2648E"/>
    <w:rsid w:val="00B267B2"/>
    <w:rsid w:val="00B269CE"/>
    <w:rsid w:val="00B273AA"/>
    <w:rsid w:val="00B2754A"/>
    <w:rsid w:val="00B2757B"/>
    <w:rsid w:val="00B27652"/>
    <w:rsid w:val="00B27D54"/>
    <w:rsid w:val="00B30108"/>
    <w:rsid w:val="00B301B1"/>
    <w:rsid w:val="00B3039A"/>
    <w:rsid w:val="00B3039C"/>
    <w:rsid w:val="00B30F45"/>
    <w:rsid w:val="00B31081"/>
    <w:rsid w:val="00B310B4"/>
    <w:rsid w:val="00B310B8"/>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188"/>
    <w:rsid w:val="00B37204"/>
    <w:rsid w:val="00B37C11"/>
    <w:rsid w:val="00B37EA4"/>
    <w:rsid w:val="00B37FEA"/>
    <w:rsid w:val="00B4003E"/>
    <w:rsid w:val="00B400C2"/>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7B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4C0E"/>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8F4"/>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18"/>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54"/>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04E"/>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57F5C"/>
    <w:rsid w:val="00B600AF"/>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5F"/>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96F"/>
    <w:rsid w:val="00B63A41"/>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509"/>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122"/>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87A"/>
    <w:rsid w:val="00B74A0D"/>
    <w:rsid w:val="00B74DF2"/>
    <w:rsid w:val="00B74EC0"/>
    <w:rsid w:val="00B75542"/>
    <w:rsid w:val="00B75667"/>
    <w:rsid w:val="00B7571E"/>
    <w:rsid w:val="00B75863"/>
    <w:rsid w:val="00B7599D"/>
    <w:rsid w:val="00B75A5C"/>
    <w:rsid w:val="00B75A85"/>
    <w:rsid w:val="00B75AFC"/>
    <w:rsid w:val="00B75C90"/>
    <w:rsid w:val="00B7646F"/>
    <w:rsid w:val="00B769F3"/>
    <w:rsid w:val="00B76A23"/>
    <w:rsid w:val="00B76F6A"/>
    <w:rsid w:val="00B77062"/>
    <w:rsid w:val="00B7709F"/>
    <w:rsid w:val="00B770A1"/>
    <w:rsid w:val="00B770E1"/>
    <w:rsid w:val="00B77104"/>
    <w:rsid w:val="00B77228"/>
    <w:rsid w:val="00B772FB"/>
    <w:rsid w:val="00B77403"/>
    <w:rsid w:val="00B774CC"/>
    <w:rsid w:val="00B774D3"/>
    <w:rsid w:val="00B774D4"/>
    <w:rsid w:val="00B77605"/>
    <w:rsid w:val="00B77682"/>
    <w:rsid w:val="00B776F1"/>
    <w:rsid w:val="00B77779"/>
    <w:rsid w:val="00B7792C"/>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871"/>
    <w:rsid w:val="00B83AC3"/>
    <w:rsid w:val="00B83AEB"/>
    <w:rsid w:val="00B83D02"/>
    <w:rsid w:val="00B83D5F"/>
    <w:rsid w:val="00B83DAC"/>
    <w:rsid w:val="00B83DF6"/>
    <w:rsid w:val="00B83E13"/>
    <w:rsid w:val="00B8447D"/>
    <w:rsid w:val="00B845AB"/>
    <w:rsid w:val="00B845C6"/>
    <w:rsid w:val="00B84A83"/>
    <w:rsid w:val="00B84BE8"/>
    <w:rsid w:val="00B84DC5"/>
    <w:rsid w:val="00B851AE"/>
    <w:rsid w:val="00B855A8"/>
    <w:rsid w:val="00B85837"/>
    <w:rsid w:val="00B85840"/>
    <w:rsid w:val="00B859D2"/>
    <w:rsid w:val="00B85C0D"/>
    <w:rsid w:val="00B85F67"/>
    <w:rsid w:val="00B85FC3"/>
    <w:rsid w:val="00B8616C"/>
    <w:rsid w:val="00B86367"/>
    <w:rsid w:val="00B86557"/>
    <w:rsid w:val="00B86D5B"/>
    <w:rsid w:val="00B86D87"/>
    <w:rsid w:val="00B86DBB"/>
    <w:rsid w:val="00B86FE4"/>
    <w:rsid w:val="00B87004"/>
    <w:rsid w:val="00B87067"/>
    <w:rsid w:val="00B877B6"/>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C1D"/>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7A"/>
    <w:rsid w:val="00B92BF1"/>
    <w:rsid w:val="00B92FF2"/>
    <w:rsid w:val="00B930AA"/>
    <w:rsid w:val="00B932E1"/>
    <w:rsid w:val="00B933CC"/>
    <w:rsid w:val="00B936EC"/>
    <w:rsid w:val="00B9391B"/>
    <w:rsid w:val="00B93B73"/>
    <w:rsid w:val="00B93BF2"/>
    <w:rsid w:val="00B93C36"/>
    <w:rsid w:val="00B93C96"/>
    <w:rsid w:val="00B93E8C"/>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7E6"/>
    <w:rsid w:val="00B979A0"/>
    <w:rsid w:val="00B97B47"/>
    <w:rsid w:val="00B97DEB"/>
    <w:rsid w:val="00BA0262"/>
    <w:rsid w:val="00BA04D7"/>
    <w:rsid w:val="00BA067F"/>
    <w:rsid w:val="00BA07EB"/>
    <w:rsid w:val="00BA0D74"/>
    <w:rsid w:val="00BA0EA9"/>
    <w:rsid w:val="00BA1011"/>
    <w:rsid w:val="00BA116E"/>
    <w:rsid w:val="00BA12E4"/>
    <w:rsid w:val="00BA12EA"/>
    <w:rsid w:val="00BA13E0"/>
    <w:rsid w:val="00BA141A"/>
    <w:rsid w:val="00BA17C4"/>
    <w:rsid w:val="00BA1AEB"/>
    <w:rsid w:val="00BA1F91"/>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69"/>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0C"/>
    <w:rsid w:val="00BA7688"/>
    <w:rsid w:val="00BA7A20"/>
    <w:rsid w:val="00BA7EB0"/>
    <w:rsid w:val="00BB008F"/>
    <w:rsid w:val="00BB020D"/>
    <w:rsid w:val="00BB0372"/>
    <w:rsid w:val="00BB0528"/>
    <w:rsid w:val="00BB0574"/>
    <w:rsid w:val="00BB05F6"/>
    <w:rsid w:val="00BB070E"/>
    <w:rsid w:val="00BB0A87"/>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E4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38D"/>
    <w:rsid w:val="00BB559D"/>
    <w:rsid w:val="00BB56F2"/>
    <w:rsid w:val="00BB57E0"/>
    <w:rsid w:val="00BB57E7"/>
    <w:rsid w:val="00BB5846"/>
    <w:rsid w:val="00BB5E3F"/>
    <w:rsid w:val="00BB6021"/>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2B4"/>
    <w:rsid w:val="00BC56C1"/>
    <w:rsid w:val="00BC58EE"/>
    <w:rsid w:val="00BC5AC3"/>
    <w:rsid w:val="00BC5B3B"/>
    <w:rsid w:val="00BC5BE8"/>
    <w:rsid w:val="00BC5C6F"/>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58B"/>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4F3"/>
    <w:rsid w:val="00BD3837"/>
    <w:rsid w:val="00BD385B"/>
    <w:rsid w:val="00BD386B"/>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28A"/>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72"/>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A1"/>
    <w:rsid w:val="00BE2ED6"/>
    <w:rsid w:val="00BE3405"/>
    <w:rsid w:val="00BE3851"/>
    <w:rsid w:val="00BE3AFA"/>
    <w:rsid w:val="00BE3CEF"/>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86F"/>
    <w:rsid w:val="00BE7B09"/>
    <w:rsid w:val="00BE7B27"/>
    <w:rsid w:val="00BE7BA7"/>
    <w:rsid w:val="00BE7CAF"/>
    <w:rsid w:val="00BE7D62"/>
    <w:rsid w:val="00BE7E10"/>
    <w:rsid w:val="00BE7EBC"/>
    <w:rsid w:val="00BE7FBE"/>
    <w:rsid w:val="00BF00DD"/>
    <w:rsid w:val="00BF02E6"/>
    <w:rsid w:val="00BF0647"/>
    <w:rsid w:val="00BF06C7"/>
    <w:rsid w:val="00BF07CB"/>
    <w:rsid w:val="00BF0861"/>
    <w:rsid w:val="00BF0907"/>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ED8"/>
    <w:rsid w:val="00BF2F4F"/>
    <w:rsid w:val="00BF30BA"/>
    <w:rsid w:val="00BF31CB"/>
    <w:rsid w:val="00BF366D"/>
    <w:rsid w:val="00BF369B"/>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985"/>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3D4D"/>
    <w:rsid w:val="00C04109"/>
    <w:rsid w:val="00C04322"/>
    <w:rsid w:val="00C04339"/>
    <w:rsid w:val="00C04421"/>
    <w:rsid w:val="00C04C6C"/>
    <w:rsid w:val="00C04CF6"/>
    <w:rsid w:val="00C04D41"/>
    <w:rsid w:val="00C04DAE"/>
    <w:rsid w:val="00C04DE2"/>
    <w:rsid w:val="00C04EC7"/>
    <w:rsid w:val="00C04ECA"/>
    <w:rsid w:val="00C05395"/>
    <w:rsid w:val="00C05512"/>
    <w:rsid w:val="00C057E0"/>
    <w:rsid w:val="00C05863"/>
    <w:rsid w:val="00C05A3D"/>
    <w:rsid w:val="00C05B06"/>
    <w:rsid w:val="00C05B4D"/>
    <w:rsid w:val="00C05B59"/>
    <w:rsid w:val="00C05BDB"/>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0F"/>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0F64"/>
    <w:rsid w:val="00C1114F"/>
    <w:rsid w:val="00C1116A"/>
    <w:rsid w:val="00C11183"/>
    <w:rsid w:val="00C11197"/>
    <w:rsid w:val="00C11548"/>
    <w:rsid w:val="00C1157C"/>
    <w:rsid w:val="00C11638"/>
    <w:rsid w:val="00C11647"/>
    <w:rsid w:val="00C116A9"/>
    <w:rsid w:val="00C11B89"/>
    <w:rsid w:val="00C11C33"/>
    <w:rsid w:val="00C11C73"/>
    <w:rsid w:val="00C11DD7"/>
    <w:rsid w:val="00C11FE5"/>
    <w:rsid w:val="00C11FF6"/>
    <w:rsid w:val="00C12068"/>
    <w:rsid w:val="00C12430"/>
    <w:rsid w:val="00C12566"/>
    <w:rsid w:val="00C12955"/>
    <w:rsid w:val="00C129E5"/>
    <w:rsid w:val="00C12CD3"/>
    <w:rsid w:val="00C12EB5"/>
    <w:rsid w:val="00C13195"/>
    <w:rsid w:val="00C1328A"/>
    <w:rsid w:val="00C1341D"/>
    <w:rsid w:val="00C13504"/>
    <w:rsid w:val="00C136FC"/>
    <w:rsid w:val="00C13773"/>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486"/>
    <w:rsid w:val="00C22530"/>
    <w:rsid w:val="00C226B6"/>
    <w:rsid w:val="00C226CE"/>
    <w:rsid w:val="00C227C7"/>
    <w:rsid w:val="00C228C7"/>
    <w:rsid w:val="00C22C33"/>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906"/>
    <w:rsid w:val="00C24A23"/>
    <w:rsid w:val="00C24E86"/>
    <w:rsid w:val="00C24EE5"/>
    <w:rsid w:val="00C250CF"/>
    <w:rsid w:val="00C2524F"/>
    <w:rsid w:val="00C2544D"/>
    <w:rsid w:val="00C2546F"/>
    <w:rsid w:val="00C25546"/>
    <w:rsid w:val="00C25803"/>
    <w:rsid w:val="00C259D6"/>
    <w:rsid w:val="00C25C00"/>
    <w:rsid w:val="00C25CA5"/>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93D"/>
    <w:rsid w:val="00C30C4B"/>
    <w:rsid w:val="00C30CBA"/>
    <w:rsid w:val="00C30D3F"/>
    <w:rsid w:val="00C30DAA"/>
    <w:rsid w:val="00C30F1F"/>
    <w:rsid w:val="00C30FB5"/>
    <w:rsid w:val="00C31089"/>
    <w:rsid w:val="00C31228"/>
    <w:rsid w:val="00C31312"/>
    <w:rsid w:val="00C3141C"/>
    <w:rsid w:val="00C314DF"/>
    <w:rsid w:val="00C315D4"/>
    <w:rsid w:val="00C3175A"/>
    <w:rsid w:val="00C319A2"/>
    <w:rsid w:val="00C31A7F"/>
    <w:rsid w:val="00C31B48"/>
    <w:rsid w:val="00C3208A"/>
    <w:rsid w:val="00C3245C"/>
    <w:rsid w:val="00C3246D"/>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C6B"/>
    <w:rsid w:val="00C34D4B"/>
    <w:rsid w:val="00C34F16"/>
    <w:rsid w:val="00C35657"/>
    <w:rsid w:val="00C3566B"/>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22"/>
    <w:rsid w:val="00C4259A"/>
    <w:rsid w:val="00C42784"/>
    <w:rsid w:val="00C429E1"/>
    <w:rsid w:val="00C42C6D"/>
    <w:rsid w:val="00C43360"/>
    <w:rsid w:val="00C43523"/>
    <w:rsid w:val="00C435B4"/>
    <w:rsid w:val="00C43769"/>
    <w:rsid w:val="00C437A8"/>
    <w:rsid w:val="00C4388E"/>
    <w:rsid w:val="00C439F0"/>
    <w:rsid w:val="00C43BB2"/>
    <w:rsid w:val="00C43CE7"/>
    <w:rsid w:val="00C43F70"/>
    <w:rsid w:val="00C440C5"/>
    <w:rsid w:val="00C44189"/>
    <w:rsid w:val="00C44577"/>
    <w:rsid w:val="00C445BA"/>
    <w:rsid w:val="00C44757"/>
    <w:rsid w:val="00C447FB"/>
    <w:rsid w:val="00C44BD4"/>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6E7A"/>
    <w:rsid w:val="00C470AA"/>
    <w:rsid w:val="00C47241"/>
    <w:rsid w:val="00C474DA"/>
    <w:rsid w:val="00C475D3"/>
    <w:rsid w:val="00C47AE8"/>
    <w:rsid w:val="00C47B93"/>
    <w:rsid w:val="00C47BDE"/>
    <w:rsid w:val="00C47D98"/>
    <w:rsid w:val="00C47EC4"/>
    <w:rsid w:val="00C47EF8"/>
    <w:rsid w:val="00C47FD4"/>
    <w:rsid w:val="00C501BE"/>
    <w:rsid w:val="00C503FE"/>
    <w:rsid w:val="00C504BA"/>
    <w:rsid w:val="00C507E6"/>
    <w:rsid w:val="00C508AC"/>
    <w:rsid w:val="00C508B7"/>
    <w:rsid w:val="00C509D3"/>
    <w:rsid w:val="00C50AA6"/>
    <w:rsid w:val="00C50D36"/>
    <w:rsid w:val="00C511FD"/>
    <w:rsid w:val="00C514BA"/>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6C5"/>
    <w:rsid w:val="00C538F5"/>
    <w:rsid w:val="00C53B65"/>
    <w:rsid w:val="00C53E22"/>
    <w:rsid w:val="00C53F75"/>
    <w:rsid w:val="00C53FB5"/>
    <w:rsid w:val="00C54075"/>
    <w:rsid w:val="00C545F4"/>
    <w:rsid w:val="00C54920"/>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3C3"/>
    <w:rsid w:val="00C56893"/>
    <w:rsid w:val="00C56918"/>
    <w:rsid w:val="00C569CA"/>
    <w:rsid w:val="00C56BAD"/>
    <w:rsid w:val="00C56EC4"/>
    <w:rsid w:val="00C56ECE"/>
    <w:rsid w:val="00C56FBC"/>
    <w:rsid w:val="00C56FCE"/>
    <w:rsid w:val="00C57043"/>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24"/>
    <w:rsid w:val="00C6343A"/>
    <w:rsid w:val="00C636A9"/>
    <w:rsid w:val="00C636B0"/>
    <w:rsid w:val="00C636B6"/>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9"/>
    <w:rsid w:val="00C66BBC"/>
    <w:rsid w:val="00C66C34"/>
    <w:rsid w:val="00C670F0"/>
    <w:rsid w:val="00C672C3"/>
    <w:rsid w:val="00C67487"/>
    <w:rsid w:val="00C6758E"/>
    <w:rsid w:val="00C678E2"/>
    <w:rsid w:val="00C67B2B"/>
    <w:rsid w:val="00C67BCB"/>
    <w:rsid w:val="00C67BDC"/>
    <w:rsid w:val="00C67CE5"/>
    <w:rsid w:val="00C67F34"/>
    <w:rsid w:val="00C70081"/>
    <w:rsid w:val="00C70113"/>
    <w:rsid w:val="00C70214"/>
    <w:rsid w:val="00C70366"/>
    <w:rsid w:val="00C703A9"/>
    <w:rsid w:val="00C7040D"/>
    <w:rsid w:val="00C709D7"/>
    <w:rsid w:val="00C70B8C"/>
    <w:rsid w:val="00C70E47"/>
    <w:rsid w:val="00C711DA"/>
    <w:rsid w:val="00C71327"/>
    <w:rsid w:val="00C71468"/>
    <w:rsid w:val="00C7162E"/>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0D"/>
    <w:rsid w:val="00C74859"/>
    <w:rsid w:val="00C74870"/>
    <w:rsid w:val="00C748E2"/>
    <w:rsid w:val="00C74940"/>
    <w:rsid w:val="00C74B2A"/>
    <w:rsid w:val="00C74D13"/>
    <w:rsid w:val="00C74EB1"/>
    <w:rsid w:val="00C75004"/>
    <w:rsid w:val="00C7528C"/>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952"/>
    <w:rsid w:val="00C76C68"/>
    <w:rsid w:val="00C76CDB"/>
    <w:rsid w:val="00C76D1D"/>
    <w:rsid w:val="00C76D1F"/>
    <w:rsid w:val="00C77052"/>
    <w:rsid w:val="00C77188"/>
    <w:rsid w:val="00C77270"/>
    <w:rsid w:val="00C7731D"/>
    <w:rsid w:val="00C7741D"/>
    <w:rsid w:val="00C7747F"/>
    <w:rsid w:val="00C77480"/>
    <w:rsid w:val="00C7786C"/>
    <w:rsid w:val="00C7799E"/>
    <w:rsid w:val="00C77A0F"/>
    <w:rsid w:val="00C77AF6"/>
    <w:rsid w:val="00C80357"/>
    <w:rsid w:val="00C80441"/>
    <w:rsid w:val="00C80547"/>
    <w:rsid w:val="00C80B6B"/>
    <w:rsid w:val="00C80C71"/>
    <w:rsid w:val="00C80DB5"/>
    <w:rsid w:val="00C81092"/>
    <w:rsid w:val="00C8151D"/>
    <w:rsid w:val="00C8198E"/>
    <w:rsid w:val="00C81B30"/>
    <w:rsid w:val="00C81F93"/>
    <w:rsid w:val="00C820FD"/>
    <w:rsid w:val="00C8220B"/>
    <w:rsid w:val="00C82387"/>
    <w:rsid w:val="00C823D0"/>
    <w:rsid w:val="00C827D7"/>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9E5"/>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9A1"/>
    <w:rsid w:val="00C90A7E"/>
    <w:rsid w:val="00C90B43"/>
    <w:rsid w:val="00C90C65"/>
    <w:rsid w:val="00C90C82"/>
    <w:rsid w:val="00C90CA3"/>
    <w:rsid w:val="00C90D01"/>
    <w:rsid w:val="00C90F7A"/>
    <w:rsid w:val="00C9106D"/>
    <w:rsid w:val="00C911D6"/>
    <w:rsid w:val="00C911EF"/>
    <w:rsid w:val="00C912CD"/>
    <w:rsid w:val="00C9180C"/>
    <w:rsid w:val="00C91834"/>
    <w:rsid w:val="00C919B5"/>
    <w:rsid w:val="00C91CDA"/>
    <w:rsid w:val="00C91CFB"/>
    <w:rsid w:val="00C91D25"/>
    <w:rsid w:val="00C91D65"/>
    <w:rsid w:val="00C91EAE"/>
    <w:rsid w:val="00C91F71"/>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8ED"/>
    <w:rsid w:val="00C94A1E"/>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6C4"/>
    <w:rsid w:val="00C95730"/>
    <w:rsid w:val="00C958A6"/>
    <w:rsid w:val="00C95962"/>
    <w:rsid w:val="00C959AA"/>
    <w:rsid w:val="00C95B01"/>
    <w:rsid w:val="00C95EC0"/>
    <w:rsid w:val="00C95F63"/>
    <w:rsid w:val="00C95FAC"/>
    <w:rsid w:val="00C96370"/>
    <w:rsid w:val="00C963E1"/>
    <w:rsid w:val="00C9648B"/>
    <w:rsid w:val="00C965AD"/>
    <w:rsid w:val="00C965B3"/>
    <w:rsid w:val="00C966CB"/>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D3"/>
    <w:rsid w:val="00CA0108"/>
    <w:rsid w:val="00CA0220"/>
    <w:rsid w:val="00CA0566"/>
    <w:rsid w:val="00CA0649"/>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3B7"/>
    <w:rsid w:val="00CA54B2"/>
    <w:rsid w:val="00CA5547"/>
    <w:rsid w:val="00CA5842"/>
    <w:rsid w:val="00CA5AE0"/>
    <w:rsid w:val="00CA5BD4"/>
    <w:rsid w:val="00CA5DA3"/>
    <w:rsid w:val="00CA6164"/>
    <w:rsid w:val="00CA61D5"/>
    <w:rsid w:val="00CA647A"/>
    <w:rsid w:val="00CA65CF"/>
    <w:rsid w:val="00CA68E2"/>
    <w:rsid w:val="00CA6914"/>
    <w:rsid w:val="00CA6BDF"/>
    <w:rsid w:val="00CA6D12"/>
    <w:rsid w:val="00CA710B"/>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36D"/>
    <w:rsid w:val="00CB167F"/>
    <w:rsid w:val="00CB1730"/>
    <w:rsid w:val="00CB179C"/>
    <w:rsid w:val="00CB1841"/>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C5"/>
    <w:rsid w:val="00CB35ED"/>
    <w:rsid w:val="00CB38FE"/>
    <w:rsid w:val="00CB39C3"/>
    <w:rsid w:val="00CB39EB"/>
    <w:rsid w:val="00CB3AAB"/>
    <w:rsid w:val="00CB41E7"/>
    <w:rsid w:val="00CB4278"/>
    <w:rsid w:val="00CB44A6"/>
    <w:rsid w:val="00CB44E8"/>
    <w:rsid w:val="00CB480A"/>
    <w:rsid w:val="00CB4AAF"/>
    <w:rsid w:val="00CB4C12"/>
    <w:rsid w:val="00CB4FA5"/>
    <w:rsid w:val="00CB5000"/>
    <w:rsid w:val="00CB5008"/>
    <w:rsid w:val="00CB5185"/>
    <w:rsid w:val="00CB5494"/>
    <w:rsid w:val="00CB567A"/>
    <w:rsid w:val="00CB5825"/>
    <w:rsid w:val="00CB58AE"/>
    <w:rsid w:val="00CB58DD"/>
    <w:rsid w:val="00CB58F4"/>
    <w:rsid w:val="00CB5ABF"/>
    <w:rsid w:val="00CB5C0A"/>
    <w:rsid w:val="00CB5C81"/>
    <w:rsid w:val="00CB5DD4"/>
    <w:rsid w:val="00CB5F0B"/>
    <w:rsid w:val="00CB6069"/>
    <w:rsid w:val="00CB6343"/>
    <w:rsid w:val="00CB63F4"/>
    <w:rsid w:val="00CB6517"/>
    <w:rsid w:val="00CB6520"/>
    <w:rsid w:val="00CB657A"/>
    <w:rsid w:val="00CB6AAD"/>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4B"/>
    <w:rsid w:val="00CC0492"/>
    <w:rsid w:val="00CC04DD"/>
    <w:rsid w:val="00CC0630"/>
    <w:rsid w:val="00CC06C4"/>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EBB"/>
    <w:rsid w:val="00CC2EFE"/>
    <w:rsid w:val="00CC30FB"/>
    <w:rsid w:val="00CC313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47E"/>
    <w:rsid w:val="00CD14A9"/>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2F7B"/>
    <w:rsid w:val="00CD309B"/>
    <w:rsid w:val="00CD3122"/>
    <w:rsid w:val="00CD325D"/>
    <w:rsid w:val="00CD3372"/>
    <w:rsid w:val="00CD3421"/>
    <w:rsid w:val="00CD3888"/>
    <w:rsid w:val="00CD391F"/>
    <w:rsid w:val="00CD393A"/>
    <w:rsid w:val="00CD3B95"/>
    <w:rsid w:val="00CD3C3B"/>
    <w:rsid w:val="00CD3C6A"/>
    <w:rsid w:val="00CD3D0C"/>
    <w:rsid w:val="00CD3D4B"/>
    <w:rsid w:val="00CD3D74"/>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6F5E"/>
    <w:rsid w:val="00CD7299"/>
    <w:rsid w:val="00CD76F3"/>
    <w:rsid w:val="00CD76F8"/>
    <w:rsid w:val="00CD7707"/>
    <w:rsid w:val="00CD787F"/>
    <w:rsid w:val="00CD7900"/>
    <w:rsid w:val="00CD7917"/>
    <w:rsid w:val="00CD7997"/>
    <w:rsid w:val="00CD7A39"/>
    <w:rsid w:val="00CD7A85"/>
    <w:rsid w:val="00CD7A86"/>
    <w:rsid w:val="00CD7B0B"/>
    <w:rsid w:val="00CD7D5F"/>
    <w:rsid w:val="00CD7E84"/>
    <w:rsid w:val="00CD7EF3"/>
    <w:rsid w:val="00CE01DA"/>
    <w:rsid w:val="00CE020F"/>
    <w:rsid w:val="00CE025E"/>
    <w:rsid w:val="00CE030D"/>
    <w:rsid w:val="00CE03B6"/>
    <w:rsid w:val="00CE04D2"/>
    <w:rsid w:val="00CE0544"/>
    <w:rsid w:val="00CE05F2"/>
    <w:rsid w:val="00CE0708"/>
    <w:rsid w:val="00CE0755"/>
    <w:rsid w:val="00CE097D"/>
    <w:rsid w:val="00CE0A13"/>
    <w:rsid w:val="00CE0B8B"/>
    <w:rsid w:val="00CE0CBF"/>
    <w:rsid w:val="00CE0D6A"/>
    <w:rsid w:val="00CE0DC0"/>
    <w:rsid w:val="00CE0F12"/>
    <w:rsid w:val="00CE112E"/>
    <w:rsid w:val="00CE121A"/>
    <w:rsid w:val="00CE1225"/>
    <w:rsid w:val="00CE132D"/>
    <w:rsid w:val="00CE1345"/>
    <w:rsid w:val="00CE13D5"/>
    <w:rsid w:val="00CE143E"/>
    <w:rsid w:val="00CE169F"/>
    <w:rsid w:val="00CE17A6"/>
    <w:rsid w:val="00CE19F2"/>
    <w:rsid w:val="00CE1DFA"/>
    <w:rsid w:val="00CE1F14"/>
    <w:rsid w:val="00CE2048"/>
    <w:rsid w:val="00CE253D"/>
    <w:rsid w:val="00CE2A92"/>
    <w:rsid w:val="00CE2D87"/>
    <w:rsid w:val="00CE3257"/>
    <w:rsid w:val="00CE33E5"/>
    <w:rsid w:val="00CE38AA"/>
    <w:rsid w:val="00CE3A09"/>
    <w:rsid w:val="00CE3C72"/>
    <w:rsid w:val="00CE3C78"/>
    <w:rsid w:val="00CE3CDC"/>
    <w:rsid w:val="00CE3D16"/>
    <w:rsid w:val="00CE3D41"/>
    <w:rsid w:val="00CE3DFB"/>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0E9C"/>
    <w:rsid w:val="00CF173D"/>
    <w:rsid w:val="00CF18AB"/>
    <w:rsid w:val="00CF1A33"/>
    <w:rsid w:val="00CF1AA6"/>
    <w:rsid w:val="00CF1C27"/>
    <w:rsid w:val="00CF20C8"/>
    <w:rsid w:val="00CF2305"/>
    <w:rsid w:val="00CF250A"/>
    <w:rsid w:val="00CF25A5"/>
    <w:rsid w:val="00CF2606"/>
    <w:rsid w:val="00CF2639"/>
    <w:rsid w:val="00CF2EF5"/>
    <w:rsid w:val="00CF2FBF"/>
    <w:rsid w:val="00CF306A"/>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3BA"/>
    <w:rsid w:val="00D02AFC"/>
    <w:rsid w:val="00D02C36"/>
    <w:rsid w:val="00D02CCD"/>
    <w:rsid w:val="00D02DFF"/>
    <w:rsid w:val="00D02E17"/>
    <w:rsid w:val="00D02F2F"/>
    <w:rsid w:val="00D03024"/>
    <w:rsid w:val="00D0310C"/>
    <w:rsid w:val="00D0321D"/>
    <w:rsid w:val="00D036C0"/>
    <w:rsid w:val="00D0377C"/>
    <w:rsid w:val="00D0392D"/>
    <w:rsid w:val="00D039E0"/>
    <w:rsid w:val="00D03A47"/>
    <w:rsid w:val="00D03E02"/>
    <w:rsid w:val="00D04041"/>
    <w:rsid w:val="00D041F9"/>
    <w:rsid w:val="00D0481A"/>
    <w:rsid w:val="00D048A8"/>
    <w:rsid w:val="00D04976"/>
    <w:rsid w:val="00D04A63"/>
    <w:rsid w:val="00D04C1B"/>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00"/>
    <w:rsid w:val="00D07D73"/>
    <w:rsid w:val="00D07DCA"/>
    <w:rsid w:val="00D07E5F"/>
    <w:rsid w:val="00D07F48"/>
    <w:rsid w:val="00D1023A"/>
    <w:rsid w:val="00D10750"/>
    <w:rsid w:val="00D1081F"/>
    <w:rsid w:val="00D10E1F"/>
    <w:rsid w:val="00D11594"/>
    <w:rsid w:val="00D11672"/>
    <w:rsid w:val="00D117CC"/>
    <w:rsid w:val="00D1181D"/>
    <w:rsid w:val="00D11873"/>
    <w:rsid w:val="00D118C9"/>
    <w:rsid w:val="00D11CEA"/>
    <w:rsid w:val="00D11FAE"/>
    <w:rsid w:val="00D12266"/>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A57"/>
    <w:rsid w:val="00D17D29"/>
    <w:rsid w:val="00D17F37"/>
    <w:rsid w:val="00D17F39"/>
    <w:rsid w:val="00D17FE7"/>
    <w:rsid w:val="00D2008E"/>
    <w:rsid w:val="00D202D3"/>
    <w:rsid w:val="00D20563"/>
    <w:rsid w:val="00D20B19"/>
    <w:rsid w:val="00D21064"/>
    <w:rsid w:val="00D211B0"/>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4A5"/>
    <w:rsid w:val="00D27684"/>
    <w:rsid w:val="00D278B0"/>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EA8"/>
    <w:rsid w:val="00D30FC7"/>
    <w:rsid w:val="00D31071"/>
    <w:rsid w:val="00D31139"/>
    <w:rsid w:val="00D31393"/>
    <w:rsid w:val="00D314F9"/>
    <w:rsid w:val="00D317D5"/>
    <w:rsid w:val="00D31AC4"/>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5EE"/>
    <w:rsid w:val="00D358B2"/>
    <w:rsid w:val="00D359BB"/>
    <w:rsid w:val="00D35BA3"/>
    <w:rsid w:val="00D35DEB"/>
    <w:rsid w:val="00D35FB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43"/>
    <w:rsid w:val="00D404CE"/>
    <w:rsid w:val="00D40539"/>
    <w:rsid w:val="00D409F1"/>
    <w:rsid w:val="00D40C8B"/>
    <w:rsid w:val="00D40D3F"/>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72"/>
    <w:rsid w:val="00D441BE"/>
    <w:rsid w:val="00D4429F"/>
    <w:rsid w:val="00D44370"/>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B29"/>
    <w:rsid w:val="00D46C2D"/>
    <w:rsid w:val="00D46E07"/>
    <w:rsid w:val="00D46F2D"/>
    <w:rsid w:val="00D471EF"/>
    <w:rsid w:val="00D474D5"/>
    <w:rsid w:val="00D475CC"/>
    <w:rsid w:val="00D4764F"/>
    <w:rsid w:val="00D477E2"/>
    <w:rsid w:val="00D4785C"/>
    <w:rsid w:val="00D47903"/>
    <w:rsid w:val="00D47A34"/>
    <w:rsid w:val="00D50300"/>
    <w:rsid w:val="00D503A9"/>
    <w:rsid w:val="00D503ED"/>
    <w:rsid w:val="00D5044A"/>
    <w:rsid w:val="00D50481"/>
    <w:rsid w:val="00D504EA"/>
    <w:rsid w:val="00D506AC"/>
    <w:rsid w:val="00D506EA"/>
    <w:rsid w:val="00D5085E"/>
    <w:rsid w:val="00D508BE"/>
    <w:rsid w:val="00D50A51"/>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8A0"/>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71B"/>
    <w:rsid w:val="00D57723"/>
    <w:rsid w:val="00D57898"/>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57"/>
    <w:rsid w:val="00D65DD6"/>
    <w:rsid w:val="00D65FCE"/>
    <w:rsid w:val="00D66008"/>
    <w:rsid w:val="00D66022"/>
    <w:rsid w:val="00D66065"/>
    <w:rsid w:val="00D66108"/>
    <w:rsid w:val="00D66358"/>
    <w:rsid w:val="00D66C66"/>
    <w:rsid w:val="00D66CC1"/>
    <w:rsid w:val="00D66DAA"/>
    <w:rsid w:val="00D66E08"/>
    <w:rsid w:val="00D66F27"/>
    <w:rsid w:val="00D66FDC"/>
    <w:rsid w:val="00D671EF"/>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5C4"/>
    <w:rsid w:val="00D71707"/>
    <w:rsid w:val="00D71BD5"/>
    <w:rsid w:val="00D7203A"/>
    <w:rsid w:val="00D72265"/>
    <w:rsid w:val="00D722DB"/>
    <w:rsid w:val="00D7235F"/>
    <w:rsid w:val="00D7267B"/>
    <w:rsid w:val="00D726BC"/>
    <w:rsid w:val="00D72984"/>
    <w:rsid w:val="00D7299D"/>
    <w:rsid w:val="00D72BDC"/>
    <w:rsid w:val="00D72C4E"/>
    <w:rsid w:val="00D72DF3"/>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C1A"/>
    <w:rsid w:val="00D75DD6"/>
    <w:rsid w:val="00D75E85"/>
    <w:rsid w:val="00D75EAB"/>
    <w:rsid w:val="00D75F68"/>
    <w:rsid w:val="00D761F8"/>
    <w:rsid w:val="00D7643F"/>
    <w:rsid w:val="00D7662F"/>
    <w:rsid w:val="00D769F0"/>
    <w:rsid w:val="00D76A5E"/>
    <w:rsid w:val="00D76B01"/>
    <w:rsid w:val="00D76C15"/>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4E2"/>
    <w:rsid w:val="00D8053C"/>
    <w:rsid w:val="00D80A27"/>
    <w:rsid w:val="00D80AB8"/>
    <w:rsid w:val="00D80C93"/>
    <w:rsid w:val="00D80CCB"/>
    <w:rsid w:val="00D80E14"/>
    <w:rsid w:val="00D80E71"/>
    <w:rsid w:val="00D8112A"/>
    <w:rsid w:val="00D8117B"/>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9A"/>
    <w:rsid w:val="00D83401"/>
    <w:rsid w:val="00D83850"/>
    <w:rsid w:val="00D83F09"/>
    <w:rsid w:val="00D84055"/>
    <w:rsid w:val="00D84268"/>
    <w:rsid w:val="00D84278"/>
    <w:rsid w:val="00D844B2"/>
    <w:rsid w:val="00D845D6"/>
    <w:rsid w:val="00D846C5"/>
    <w:rsid w:val="00D847C6"/>
    <w:rsid w:val="00D84E4F"/>
    <w:rsid w:val="00D8527B"/>
    <w:rsid w:val="00D85D7C"/>
    <w:rsid w:val="00D86728"/>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BEA"/>
    <w:rsid w:val="00D94E99"/>
    <w:rsid w:val="00D94FC2"/>
    <w:rsid w:val="00D94FF3"/>
    <w:rsid w:val="00D950B4"/>
    <w:rsid w:val="00D95256"/>
    <w:rsid w:val="00D95322"/>
    <w:rsid w:val="00D954E8"/>
    <w:rsid w:val="00D955B0"/>
    <w:rsid w:val="00D957C0"/>
    <w:rsid w:val="00D95BC2"/>
    <w:rsid w:val="00D95BFF"/>
    <w:rsid w:val="00D95E1E"/>
    <w:rsid w:val="00D95F45"/>
    <w:rsid w:val="00D960F8"/>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504"/>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3B6"/>
    <w:rsid w:val="00DA7461"/>
    <w:rsid w:val="00DA754B"/>
    <w:rsid w:val="00DA75F8"/>
    <w:rsid w:val="00DA7A85"/>
    <w:rsid w:val="00DA7BC7"/>
    <w:rsid w:val="00DA7E1C"/>
    <w:rsid w:val="00DA7E4C"/>
    <w:rsid w:val="00DA7EC1"/>
    <w:rsid w:val="00DB0564"/>
    <w:rsid w:val="00DB05B1"/>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97F"/>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430"/>
    <w:rsid w:val="00DB653E"/>
    <w:rsid w:val="00DB6681"/>
    <w:rsid w:val="00DB6BD3"/>
    <w:rsid w:val="00DB6C80"/>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49E"/>
    <w:rsid w:val="00DC257F"/>
    <w:rsid w:val="00DC2702"/>
    <w:rsid w:val="00DC2898"/>
    <w:rsid w:val="00DC28A6"/>
    <w:rsid w:val="00DC28EC"/>
    <w:rsid w:val="00DC2AEF"/>
    <w:rsid w:val="00DC2BFB"/>
    <w:rsid w:val="00DC2E1F"/>
    <w:rsid w:val="00DC2E7C"/>
    <w:rsid w:val="00DC30B7"/>
    <w:rsid w:val="00DC33F8"/>
    <w:rsid w:val="00DC3417"/>
    <w:rsid w:val="00DC3497"/>
    <w:rsid w:val="00DC34B2"/>
    <w:rsid w:val="00DC34FA"/>
    <w:rsid w:val="00DC37A5"/>
    <w:rsid w:val="00DC38E3"/>
    <w:rsid w:val="00DC3965"/>
    <w:rsid w:val="00DC39CA"/>
    <w:rsid w:val="00DC3B9E"/>
    <w:rsid w:val="00DC3D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5A8"/>
    <w:rsid w:val="00DC574F"/>
    <w:rsid w:val="00DC581E"/>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74"/>
    <w:rsid w:val="00DC6DD5"/>
    <w:rsid w:val="00DC6E29"/>
    <w:rsid w:val="00DC6F2D"/>
    <w:rsid w:val="00DC702E"/>
    <w:rsid w:val="00DC70B1"/>
    <w:rsid w:val="00DC73B9"/>
    <w:rsid w:val="00DC76FA"/>
    <w:rsid w:val="00DC7890"/>
    <w:rsid w:val="00DC78CD"/>
    <w:rsid w:val="00DC79A3"/>
    <w:rsid w:val="00DC7E92"/>
    <w:rsid w:val="00DC7FC5"/>
    <w:rsid w:val="00DD001F"/>
    <w:rsid w:val="00DD009E"/>
    <w:rsid w:val="00DD0230"/>
    <w:rsid w:val="00DD02C4"/>
    <w:rsid w:val="00DD044C"/>
    <w:rsid w:val="00DD050F"/>
    <w:rsid w:val="00DD05A1"/>
    <w:rsid w:val="00DD05F5"/>
    <w:rsid w:val="00DD0797"/>
    <w:rsid w:val="00DD0982"/>
    <w:rsid w:val="00DD0B76"/>
    <w:rsid w:val="00DD0CFF"/>
    <w:rsid w:val="00DD0F3B"/>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EB8"/>
    <w:rsid w:val="00DD445D"/>
    <w:rsid w:val="00DD49D3"/>
    <w:rsid w:val="00DD4A49"/>
    <w:rsid w:val="00DD4AD4"/>
    <w:rsid w:val="00DD4DE2"/>
    <w:rsid w:val="00DD5521"/>
    <w:rsid w:val="00DD570E"/>
    <w:rsid w:val="00DD581F"/>
    <w:rsid w:val="00DD587F"/>
    <w:rsid w:val="00DD59AB"/>
    <w:rsid w:val="00DD5FFE"/>
    <w:rsid w:val="00DD608E"/>
    <w:rsid w:val="00DD637A"/>
    <w:rsid w:val="00DD6396"/>
    <w:rsid w:val="00DD6463"/>
    <w:rsid w:val="00DD6B95"/>
    <w:rsid w:val="00DD6C70"/>
    <w:rsid w:val="00DD6DA2"/>
    <w:rsid w:val="00DD7047"/>
    <w:rsid w:val="00DD7227"/>
    <w:rsid w:val="00DD7241"/>
    <w:rsid w:val="00DD729D"/>
    <w:rsid w:val="00DD7459"/>
    <w:rsid w:val="00DD75D1"/>
    <w:rsid w:val="00DD761C"/>
    <w:rsid w:val="00DD7A44"/>
    <w:rsid w:val="00DD7F38"/>
    <w:rsid w:val="00DD7FD8"/>
    <w:rsid w:val="00DE0171"/>
    <w:rsid w:val="00DE01A3"/>
    <w:rsid w:val="00DE023D"/>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13"/>
    <w:rsid w:val="00DE6B38"/>
    <w:rsid w:val="00DE6EC6"/>
    <w:rsid w:val="00DE6FD4"/>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67"/>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C90"/>
    <w:rsid w:val="00E00F9B"/>
    <w:rsid w:val="00E010F0"/>
    <w:rsid w:val="00E01395"/>
    <w:rsid w:val="00E01514"/>
    <w:rsid w:val="00E019AC"/>
    <w:rsid w:val="00E019EA"/>
    <w:rsid w:val="00E01A5C"/>
    <w:rsid w:val="00E01D08"/>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CE"/>
    <w:rsid w:val="00E05BD3"/>
    <w:rsid w:val="00E05E39"/>
    <w:rsid w:val="00E05EC6"/>
    <w:rsid w:val="00E05FC4"/>
    <w:rsid w:val="00E06977"/>
    <w:rsid w:val="00E069CF"/>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E3"/>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1145"/>
    <w:rsid w:val="00E211DD"/>
    <w:rsid w:val="00E214FB"/>
    <w:rsid w:val="00E216A5"/>
    <w:rsid w:val="00E21D3B"/>
    <w:rsid w:val="00E21DA2"/>
    <w:rsid w:val="00E221EF"/>
    <w:rsid w:val="00E22223"/>
    <w:rsid w:val="00E222C6"/>
    <w:rsid w:val="00E22359"/>
    <w:rsid w:val="00E224AB"/>
    <w:rsid w:val="00E224C9"/>
    <w:rsid w:val="00E225EC"/>
    <w:rsid w:val="00E22625"/>
    <w:rsid w:val="00E226BD"/>
    <w:rsid w:val="00E227F0"/>
    <w:rsid w:val="00E229F7"/>
    <w:rsid w:val="00E22A10"/>
    <w:rsid w:val="00E22BF5"/>
    <w:rsid w:val="00E22E2B"/>
    <w:rsid w:val="00E22E2F"/>
    <w:rsid w:val="00E22EE3"/>
    <w:rsid w:val="00E23162"/>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05"/>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27B3D"/>
    <w:rsid w:val="00E30063"/>
    <w:rsid w:val="00E30517"/>
    <w:rsid w:val="00E3070A"/>
    <w:rsid w:val="00E30817"/>
    <w:rsid w:val="00E3093D"/>
    <w:rsid w:val="00E30A72"/>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3FF"/>
    <w:rsid w:val="00E33427"/>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C25"/>
    <w:rsid w:val="00E37D13"/>
    <w:rsid w:val="00E37FDD"/>
    <w:rsid w:val="00E40362"/>
    <w:rsid w:val="00E40966"/>
    <w:rsid w:val="00E40A2C"/>
    <w:rsid w:val="00E40AC4"/>
    <w:rsid w:val="00E40CD1"/>
    <w:rsid w:val="00E41062"/>
    <w:rsid w:val="00E410FD"/>
    <w:rsid w:val="00E4180B"/>
    <w:rsid w:val="00E41BAC"/>
    <w:rsid w:val="00E41C43"/>
    <w:rsid w:val="00E41DF1"/>
    <w:rsid w:val="00E42027"/>
    <w:rsid w:val="00E42049"/>
    <w:rsid w:val="00E42162"/>
    <w:rsid w:val="00E422B2"/>
    <w:rsid w:val="00E4245D"/>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66F"/>
    <w:rsid w:val="00E46809"/>
    <w:rsid w:val="00E46A41"/>
    <w:rsid w:val="00E46A54"/>
    <w:rsid w:val="00E46BBE"/>
    <w:rsid w:val="00E46CC9"/>
    <w:rsid w:val="00E46DFD"/>
    <w:rsid w:val="00E46FCF"/>
    <w:rsid w:val="00E474ED"/>
    <w:rsid w:val="00E479EC"/>
    <w:rsid w:val="00E47C2F"/>
    <w:rsid w:val="00E47CA6"/>
    <w:rsid w:val="00E47D5F"/>
    <w:rsid w:val="00E47D96"/>
    <w:rsid w:val="00E47F73"/>
    <w:rsid w:val="00E47FDB"/>
    <w:rsid w:val="00E501A1"/>
    <w:rsid w:val="00E5062D"/>
    <w:rsid w:val="00E50759"/>
    <w:rsid w:val="00E508D6"/>
    <w:rsid w:val="00E50CD2"/>
    <w:rsid w:val="00E50E01"/>
    <w:rsid w:val="00E50F0D"/>
    <w:rsid w:val="00E51078"/>
    <w:rsid w:val="00E512A2"/>
    <w:rsid w:val="00E512F4"/>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07B"/>
    <w:rsid w:val="00E542C2"/>
    <w:rsid w:val="00E547DF"/>
    <w:rsid w:val="00E548CF"/>
    <w:rsid w:val="00E54B12"/>
    <w:rsid w:val="00E54B17"/>
    <w:rsid w:val="00E54CC0"/>
    <w:rsid w:val="00E54D33"/>
    <w:rsid w:val="00E54DC6"/>
    <w:rsid w:val="00E54FC8"/>
    <w:rsid w:val="00E55716"/>
    <w:rsid w:val="00E55B89"/>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8"/>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A94"/>
    <w:rsid w:val="00E80C47"/>
    <w:rsid w:val="00E80C9C"/>
    <w:rsid w:val="00E80CE8"/>
    <w:rsid w:val="00E810EC"/>
    <w:rsid w:val="00E8112C"/>
    <w:rsid w:val="00E812F1"/>
    <w:rsid w:val="00E812F6"/>
    <w:rsid w:val="00E81587"/>
    <w:rsid w:val="00E816F4"/>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46"/>
    <w:rsid w:val="00E87BC7"/>
    <w:rsid w:val="00E87BFE"/>
    <w:rsid w:val="00E87E05"/>
    <w:rsid w:val="00E900CD"/>
    <w:rsid w:val="00E9049B"/>
    <w:rsid w:val="00E906BC"/>
    <w:rsid w:val="00E909E7"/>
    <w:rsid w:val="00E90A03"/>
    <w:rsid w:val="00E90CFE"/>
    <w:rsid w:val="00E90F17"/>
    <w:rsid w:val="00E9109D"/>
    <w:rsid w:val="00E91139"/>
    <w:rsid w:val="00E91207"/>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5C5"/>
    <w:rsid w:val="00E95754"/>
    <w:rsid w:val="00E95829"/>
    <w:rsid w:val="00E959A9"/>
    <w:rsid w:val="00E95A9A"/>
    <w:rsid w:val="00E95DFB"/>
    <w:rsid w:val="00E9627E"/>
    <w:rsid w:val="00E96784"/>
    <w:rsid w:val="00E9680A"/>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9A"/>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79"/>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5EA"/>
    <w:rsid w:val="00EA475E"/>
    <w:rsid w:val="00EA475F"/>
    <w:rsid w:val="00EA476A"/>
    <w:rsid w:val="00EA49C3"/>
    <w:rsid w:val="00EA4A36"/>
    <w:rsid w:val="00EA4C72"/>
    <w:rsid w:val="00EA4D09"/>
    <w:rsid w:val="00EA4D43"/>
    <w:rsid w:val="00EA4E26"/>
    <w:rsid w:val="00EA4E53"/>
    <w:rsid w:val="00EA4F01"/>
    <w:rsid w:val="00EA5029"/>
    <w:rsid w:val="00EA518A"/>
    <w:rsid w:val="00EA51D6"/>
    <w:rsid w:val="00EA524C"/>
    <w:rsid w:val="00EA52E0"/>
    <w:rsid w:val="00EA5335"/>
    <w:rsid w:val="00EA5A10"/>
    <w:rsid w:val="00EA5C0D"/>
    <w:rsid w:val="00EA5C33"/>
    <w:rsid w:val="00EA5C8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488B"/>
    <w:rsid w:val="00EB5008"/>
    <w:rsid w:val="00EB5135"/>
    <w:rsid w:val="00EB5333"/>
    <w:rsid w:val="00EB534C"/>
    <w:rsid w:val="00EB5494"/>
    <w:rsid w:val="00EB5515"/>
    <w:rsid w:val="00EB5543"/>
    <w:rsid w:val="00EB5545"/>
    <w:rsid w:val="00EB55D2"/>
    <w:rsid w:val="00EB5635"/>
    <w:rsid w:val="00EB56E5"/>
    <w:rsid w:val="00EB57CC"/>
    <w:rsid w:val="00EB5A08"/>
    <w:rsid w:val="00EB5C31"/>
    <w:rsid w:val="00EB602C"/>
    <w:rsid w:val="00EB619E"/>
    <w:rsid w:val="00EB65F2"/>
    <w:rsid w:val="00EB6703"/>
    <w:rsid w:val="00EB6721"/>
    <w:rsid w:val="00EB6738"/>
    <w:rsid w:val="00EB6AC8"/>
    <w:rsid w:val="00EB6BB2"/>
    <w:rsid w:val="00EB6C53"/>
    <w:rsid w:val="00EB7097"/>
    <w:rsid w:val="00EB71FF"/>
    <w:rsid w:val="00EB720A"/>
    <w:rsid w:val="00EB7271"/>
    <w:rsid w:val="00EB7300"/>
    <w:rsid w:val="00EB749C"/>
    <w:rsid w:val="00EB7510"/>
    <w:rsid w:val="00EB7675"/>
    <w:rsid w:val="00EB77F7"/>
    <w:rsid w:val="00EB780B"/>
    <w:rsid w:val="00EB7832"/>
    <w:rsid w:val="00EB7ACA"/>
    <w:rsid w:val="00EB7B45"/>
    <w:rsid w:val="00EB7B4D"/>
    <w:rsid w:val="00EB7B7F"/>
    <w:rsid w:val="00EB7C2D"/>
    <w:rsid w:val="00EB7C50"/>
    <w:rsid w:val="00EB7E4D"/>
    <w:rsid w:val="00EB7E97"/>
    <w:rsid w:val="00EB7FE8"/>
    <w:rsid w:val="00EC01A1"/>
    <w:rsid w:val="00EC02EF"/>
    <w:rsid w:val="00EC047E"/>
    <w:rsid w:val="00EC05B8"/>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252"/>
    <w:rsid w:val="00EC6337"/>
    <w:rsid w:val="00EC6629"/>
    <w:rsid w:val="00EC672E"/>
    <w:rsid w:val="00EC6867"/>
    <w:rsid w:val="00EC6D68"/>
    <w:rsid w:val="00EC6D82"/>
    <w:rsid w:val="00EC6EB6"/>
    <w:rsid w:val="00EC6F64"/>
    <w:rsid w:val="00EC7183"/>
    <w:rsid w:val="00EC71AB"/>
    <w:rsid w:val="00EC7250"/>
    <w:rsid w:val="00EC7333"/>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DAB"/>
    <w:rsid w:val="00ED1E7D"/>
    <w:rsid w:val="00ED24CE"/>
    <w:rsid w:val="00ED252A"/>
    <w:rsid w:val="00ED2559"/>
    <w:rsid w:val="00ED2BBC"/>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21"/>
    <w:rsid w:val="00ED40CC"/>
    <w:rsid w:val="00ED4308"/>
    <w:rsid w:val="00ED4484"/>
    <w:rsid w:val="00ED44C6"/>
    <w:rsid w:val="00ED4573"/>
    <w:rsid w:val="00ED47C9"/>
    <w:rsid w:val="00ED4832"/>
    <w:rsid w:val="00ED4834"/>
    <w:rsid w:val="00ED4955"/>
    <w:rsid w:val="00ED495B"/>
    <w:rsid w:val="00ED4DDF"/>
    <w:rsid w:val="00ED4E3C"/>
    <w:rsid w:val="00ED4EEA"/>
    <w:rsid w:val="00ED4FD5"/>
    <w:rsid w:val="00ED5122"/>
    <w:rsid w:val="00ED54F7"/>
    <w:rsid w:val="00ED56A7"/>
    <w:rsid w:val="00ED58F2"/>
    <w:rsid w:val="00ED5C6B"/>
    <w:rsid w:val="00ED5D02"/>
    <w:rsid w:val="00ED607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2F"/>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4A"/>
    <w:rsid w:val="00EF41E7"/>
    <w:rsid w:val="00EF427C"/>
    <w:rsid w:val="00EF42E5"/>
    <w:rsid w:val="00EF453D"/>
    <w:rsid w:val="00EF46CE"/>
    <w:rsid w:val="00EF490F"/>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6F8B"/>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BEF"/>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DDD"/>
    <w:rsid w:val="00F03E01"/>
    <w:rsid w:val="00F03F82"/>
    <w:rsid w:val="00F03FC1"/>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79D"/>
    <w:rsid w:val="00F069BE"/>
    <w:rsid w:val="00F06C40"/>
    <w:rsid w:val="00F06DB8"/>
    <w:rsid w:val="00F06F02"/>
    <w:rsid w:val="00F06FE6"/>
    <w:rsid w:val="00F071F5"/>
    <w:rsid w:val="00F07834"/>
    <w:rsid w:val="00F079A8"/>
    <w:rsid w:val="00F07DAE"/>
    <w:rsid w:val="00F07F63"/>
    <w:rsid w:val="00F10073"/>
    <w:rsid w:val="00F103C2"/>
    <w:rsid w:val="00F10437"/>
    <w:rsid w:val="00F10465"/>
    <w:rsid w:val="00F105F3"/>
    <w:rsid w:val="00F10633"/>
    <w:rsid w:val="00F10864"/>
    <w:rsid w:val="00F1101B"/>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1A4"/>
    <w:rsid w:val="00F1548E"/>
    <w:rsid w:val="00F158EE"/>
    <w:rsid w:val="00F15BD8"/>
    <w:rsid w:val="00F15CE7"/>
    <w:rsid w:val="00F165FF"/>
    <w:rsid w:val="00F16670"/>
    <w:rsid w:val="00F16951"/>
    <w:rsid w:val="00F16958"/>
    <w:rsid w:val="00F16972"/>
    <w:rsid w:val="00F16BB1"/>
    <w:rsid w:val="00F16D4A"/>
    <w:rsid w:val="00F16FB9"/>
    <w:rsid w:val="00F170E5"/>
    <w:rsid w:val="00F1713D"/>
    <w:rsid w:val="00F17A8F"/>
    <w:rsid w:val="00F17D32"/>
    <w:rsid w:val="00F17D56"/>
    <w:rsid w:val="00F20046"/>
    <w:rsid w:val="00F20242"/>
    <w:rsid w:val="00F20567"/>
    <w:rsid w:val="00F2069D"/>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2B9"/>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C41"/>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0C"/>
    <w:rsid w:val="00F27352"/>
    <w:rsid w:val="00F27495"/>
    <w:rsid w:val="00F27504"/>
    <w:rsid w:val="00F275F0"/>
    <w:rsid w:val="00F27A49"/>
    <w:rsid w:val="00F27AAD"/>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15B"/>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6FF"/>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311"/>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71"/>
    <w:rsid w:val="00F43DC1"/>
    <w:rsid w:val="00F4401A"/>
    <w:rsid w:val="00F440EA"/>
    <w:rsid w:val="00F44256"/>
    <w:rsid w:val="00F4440C"/>
    <w:rsid w:val="00F4456A"/>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47"/>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86"/>
    <w:rsid w:val="00F52894"/>
    <w:rsid w:val="00F528A1"/>
    <w:rsid w:val="00F52A33"/>
    <w:rsid w:val="00F52A47"/>
    <w:rsid w:val="00F52A4B"/>
    <w:rsid w:val="00F52A91"/>
    <w:rsid w:val="00F52B78"/>
    <w:rsid w:val="00F52C6C"/>
    <w:rsid w:val="00F52E16"/>
    <w:rsid w:val="00F52FA8"/>
    <w:rsid w:val="00F532FD"/>
    <w:rsid w:val="00F5370F"/>
    <w:rsid w:val="00F5378F"/>
    <w:rsid w:val="00F53824"/>
    <w:rsid w:val="00F538CD"/>
    <w:rsid w:val="00F53AD8"/>
    <w:rsid w:val="00F53C6F"/>
    <w:rsid w:val="00F53FDC"/>
    <w:rsid w:val="00F5415E"/>
    <w:rsid w:val="00F54192"/>
    <w:rsid w:val="00F542D8"/>
    <w:rsid w:val="00F54460"/>
    <w:rsid w:val="00F54522"/>
    <w:rsid w:val="00F5459A"/>
    <w:rsid w:val="00F545C7"/>
    <w:rsid w:val="00F548AF"/>
    <w:rsid w:val="00F548C8"/>
    <w:rsid w:val="00F549C6"/>
    <w:rsid w:val="00F54B39"/>
    <w:rsid w:val="00F54F66"/>
    <w:rsid w:val="00F55191"/>
    <w:rsid w:val="00F5534A"/>
    <w:rsid w:val="00F553D1"/>
    <w:rsid w:val="00F55796"/>
    <w:rsid w:val="00F557EC"/>
    <w:rsid w:val="00F558E3"/>
    <w:rsid w:val="00F55AC5"/>
    <w:rsid w:val="00F55B03"/>
    <w:rsid w:val="00F55E1E"/>
    <w:rsid w:val="00F55EBA"/>
    <w:rsid w:val="00F564B4"/>
    <w:rsid w:val="00F56677"/>
    <w:rsid w:val="00F5676C"/>
    <w:rsid w:val="00F56821"/>
    <w:rsid w:val="00F56C42"/>
    <w:rsid w:val="00F56D31"/>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78C"/>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352"/>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737"/>
    <w:rsid w:val="00F648A2"/>
    <w:rsid w:val="00F64928"/>
    <w:rsid w:val="00F64966"/>
    <w:rsid w:val="00F64A0D"/>
    <w:rsid w:val="00F64BA3"/>
    <w:rsid w:val="00F64C5B"/>
    <w:rsid w:val="00F64D38"/>
    <w:rsid w:val="00F64DC5"/>
    <w:rsid w:val="00F64F9D"/>
    <w:rsid w:val="00F6515F"/>
    <w:rsid w:val="00F655A4"/>
    <w:rsid w:val="00F657DA"/>
    <w:rsid w:val="00F65920"/>
    <w:rsid w:val="00F65961"/>
    <w:rsid w:val="00F659FB"/>
    <w:rsid w:val="00F65C54"/>
    <w:rsid w:val="00F65DFE"/>
    <w:rsid w:val="00F65E56"/>
    <w:rsid w:val="00F65E8A"/>
    <w:rsid w:val="00F65E91"/>
    <w:rsid w:val="00F65F44"/>
    <w:rsid w:val="00F660B8"/>
    <w:rsid w:val="00F6617D"/>
    <w:rsid w:val="00F66280"/>
    <w:rsid w:val="00F662DE"/>
    <w:rsid w:val="00F662E7"/>
    <w:rsid w:val="00F666CF"/>
    <w:rsid w:val="00F66709"/>
    <w:rsid w:val="00F66723"/>
    <w:rsid w:val="00F669E3"/>
    <w:rsid w:val="00F66A04"/>
    <w:rsid w:val="00F66AF7"/>
    <w:rsid w:val="00F66B43"/>
    <w:rsid w:val="00F66D0A"/>
    <w:rsid w:val="00F66D11"/>
    <w:rsid w:val="00F66D3B"/>
    <w:rsid w:val="00F66E5A"/>
    <w:rsid w:val="00F66ED3"/>
    <w:rsid w:val="00F671A4"/>
    <w:rsid w:val="00F6728D"/>
    <w:rsid w:val="00F672D5"/>
    <w:rsid w:val="00F672EB"/>
    <w:rsid w:val="00F6753C"/>
    <w:rsid w:val="00F677F4"/>
    <w:rsid w:val="00F67906"/>
    <w:rsid w:val="00F67A85"/>
    <w:rsid w:val="00F67D0D"/>
    <w:rsid w:val="00F67D23"/>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02"/>
    <w:rsid w:val="00F7219A"/>
    <w:rsid w:val="00F721A1"/>
    <w:rsid w:val="00F72226"/>
    <w:rsid w:val="00F72228"/>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46"/>
    <w:rsid w:val="00F74A54"/>
    <w:rsid w:val="00F74A7A"/>
    <w:rsid w:val="00F74F8D"/>
    <w:rsid w:val="00F750F4"/>
    <w:rsid w:val="00F752BB"/>
    <w:rsid w:val="00F7536A"/>
    <w:rsid w:val="00F75399"/>
    <w:rsid w:val="00F7586E"/>
    <w:rsid w:val="00F75C0B"/>
    <w:rsid w:val="00F75CA7"/>
    <w:rsid w:val="00F75E09"/>
    <w:rsid w:val="00F76099"/>
    <w:rsid w:val="00F763DF"/>
    <w:rsid w:val="00F766C8"/>
    <w:rsid w:val="00F766F4"/>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1F9B"/>
    <w:rsid w:val="00F8212C"/>
    <w:rsid w:val="00F82272"/>
    <w:rsid w:val="00F824FA"/>
    <w:rsid w:val="00F825FF"/>
    <w:rsid w:val="00F82760"/>
    <w:rsid w:val="00F82A54"/>
    <w:rsid w:val="00F82A7D"/>
    <w:rsid w:val="00F82B20"/>
    <w:rsid w:val="00F82D8E"/>
    <w:rsid w:val="00F82DD6"/>
    <w:rsid w:val="00F8303D"/>
    <w:rsid w:val="00F8304B"/>
    <w:rsid w:val="00F83301"/>
    <w:rsid w:val="00F83336"/>
    <w:rsid w:val="00F83473"/>
    <w:rsid w:val="00F83796"/>
    <w:rsid w:val="00F837DD"/>
    <w:rsid w:val="00F83BD0"/>
    <w:rsid w:val="00F83C26"/>
    <w:rsid w:val="00F83C94"/>
    <w:rsid w:val="00F83D16"/>
    <w:rsid w:val="00F83E60"/>
    <w:rsid w:val="00F83FDB"/>
    <w:rsid w:val="00F840F3"/>
    <w:rsid w:val="00F840F4"/>
    <w:rsid w:val="00F84132"/>
    <w:rsid w:val="00F8448A"/>
    <w:rsid w:val="00F84623"/>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EA5"/>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473"/>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423"/>
    <w:rsid w:val="00FA4501"/>
    <w:rsid w:val="00FA451A"/>
    <w:rsid w:val="00FA464C"/>
    <w:rsid w:val="00FA46C4"/>
    <w:rsid w:val="00FA4764"/>
    <w:rsid w:val="00FA484A"/>
    <w:rsid w:val="00FA48F8"/>
    <w:rsid w:val="00FA4B5F"/>
    <w:rsid w:val="00FA4EDE"/>
    <w:rsid w:val="00FA50E8"/>
    <w:rsid w:val="00FA51D7"/>
    <w:rsid w:val="00FA526F"/>
    <w:rsid w:val="00FA53C1"/>
    <w:rsid w:val="00FA54FA"/>
    <w:rsid w:val="00FA5527"/>
    <w:rsid w:val="00FA558C"/>
    <w:rsid w:val="00FA5710"/>
    <w:rsid w:val="00FA5745"/>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946"/>
    <w:rsid w:val="00FB0B02"/>
    <w:rsid w:val="00FB0C6E"/>
    <w:rsid w:val="00FB0D51"/>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66C"/>
    <w:rsid w:val="00FB2864"/>
    <w:rsid w:val="00FB289A"/>
    <w:rsid w:val="00FB28B0"/>
    <w:rsid w:val="00FB2976"/>
    <w:rsid w:val="00FB2A4D"/>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850"/>
    <w:rsid w:val="00FB4914"/>
    <w:rsid w:val="00FB4A23"/>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041"/>
    <w:rsid w:val="00FC0145"/>
    <w:rsid w:val="00FC0558"/>
    <w:rsid w:val="00FC077B"/>
    <w:rsid w:val="00FC097A"/>
    <w:rsid w:val="00FC0AB4"/>
    <w:rsid w:val="00FC0AE4"/>
    <w:rsid w:val="00FC0B11"/>
    <w:rsid w:val="00FC0B9B"/>
    <w:rsid w:val="00FC0C4B"/>
    <w:rsid w:val="00FC0DCD"/>
    <w:rsid w:val="00FC0E12"/>
    <w:rsid w:val="00FC1190"/>
    <w:rsid w:val="00FC17BE"/>
    <w:rsid w:val="00FC1829"/>
    <w:rsid w:val="00FC1859"/>
    <w:rsid w:val="00FC1AB5"/>
    <w:rsid w:val="00FC1B61"/>
    <w:rsid w:val="00FC1BCE"/>
    <w:rsid w:val="00FC1C4D"/>
    <w:rsid w:val="00FC1E51"/>
    <w:rsid w:val="00FC1E86"/>
    <w:rsid w:val="00FC1EBD"/>
    <w:rsid w:val="00FC1EEE"/>
    <w:rsid w:val="00FC1F41"/>
    <w:rsid w:val="00FC1FFB"/>
    <w:rsid w:val="00FC20F2"/>
    <w:rsid w:val="00FC229B"/>
    <w:rsid w:val="00FC22FE"/>
    <w:rsid w:val="00FC23E0"/>
    <w:rsid w:val="00FC23FA"/>
    <w:rsid w:val="00FC2621"/>
    <w:rsid w:val="00FC2742"/>
    <w:rsid w:val="00FC28DE"/>
    <w:rsid w:val="00FC2EE4"/>
    <w:rsid w:val="00FC2F52"/>
    <w:rsid w:val="00FC3084"/>
    <w:rsid w:val="00FC336C"/>
    <w:rsid w:val="00FC3422"/>
    <w:rsid w:val="00FC37F0"/>
    <w:rsid w:val="00FC3950"/>
    <w:rsid w:val="00FC3AE1"/>
    <w:rsid w:val="00FC3B07"/>
    <w:rsid w:val="00FC3B50"/>
    <w:rsid w:val="00FC3BBC"/>
    <w:rsid w:val="00FC3C28"/>
    <w:rsid w:val="00FC3DB3"/>
    <w:rsid w:val="00FC3EEB"/>
    <w:rsid w:val="00FC421F"/>
    <w:rsid w:val="00FC4278"/>
    <w:rsid w:val="00FC42BD"/>
    <w:rsid w:val="00FC43FB"/>
    <w:rsid w:val="00FC4423"/>
    <w:rsid w:val="00FC44DB"/>
    <w:rsid w:val="00FC45EA"/>
    <w:rsid w:val="00FC47CD"/>
    <w:rsid w:val="00FC47D1"/>
    <w:rsid w:val="00FC4BBC"/>
    <w:rsid w:val="00FC4CA4"/>
    <w:rsid w:val="00FC4ED1"/>
    <w:rsid w:val="00FC545C"/>
    <w:rsid w:val="00FC553E"/>
    <w:rsid w:val="00FC55AB"/>
    <w:rsid w:val="00FC58C5"/>
    <w:rsid w:val="00FC58E3"/>
    <w:rsid w:val="00FC5986"/>
    <w:rsid w:val="00FC5C37"/>
    <w:rsid w:val="00FC61E3"/>
    <w:rsid w:val="00FC620F"/>
    <w:rsid w:val="00FC629C"/>
    <w:rsid w:val="00FC63C8"/>
    <w:rsid w:val="00FC65A0"/>
    <w:rsid w:val="00FC671E"/>
    <w:rsid w:val="00FC68E6"/>
    <w:rsid w:val="00FC6901"/>
    <w:rsid w:val="00FC6B41"/>
    <w:rsid w:val="00FC6B7A"/>
    <w:rsid w:val="00FC6D8C"/>
    <w:rsid w:val="00FC6D92"/>
    <w:rsid w:val="00FC6D94"/>
    <w:rsid w:val="00FC6DF7"/>
    <w:rsid w:val="00FC6E46"/>
    <w:rsid w:val="00FC6E7D"/>
    <w:rsid w:val="00FC6E80"/>
    <w:rsid w:val="00FC70FB"/>
    <w:rsid w:val="00FC7115"/>
    <w:rsid w:val="00FC7216"/>
    <w:rsid w:val="00FC7221"/>
    <w:rsid w:val="00FC733A"/>
    <w:rsid w:val="00FC733B"/>
    <w:rsid w:val="00FC75EB"/>
    <w:rsid w:val="00FC7687"/>
    <w:rsid w:val="00FC7711"/>
    <w:rsid w:val="00FC782A"/>
    <w:rsid w:val="00FC791E"/>
    <w:rsid w:val="00FC7A1A"/>
    <w:rsid w:val="00FC7AE5"/>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2D"/>
    <w:rsid w:val="00FD5999"/>
    <w:rsid w:val="00FD5A07"/>
    <w:rsid w:val="00FD5B63"/>
    <w:rsid w:val="00FD5B76"/>
    <w:rsid w:val="00FD5D9B"/>
    <w:rsid w:val="00FD5F65"/>
    <w:rsid w:val="00FD603D"/>
    <w:rsid w:val="00FD61B6"/>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89"/>
    <w:rsid w:val="00FD7CCC"/>
    <w:rsid w:val="00FD7D6B"/>
    <w:rsid w:val="00FD7E72"/>
    <w:rsid w:val="00FD7ECD"/>
    <w:rsid w:val="00FE00DC"/>
    <w:rsid w:val="00FE037B"/>
    <w:rsid w:val="00FE046A"/>
    <w:rsid w:val="00FE0477"/>
    <w:rsid w:val="00FE04B6"/>
    <w:rsid w:val="00FE0510"/>
    <w:rsid w:val="00FE0657"/>
    <w:rsid w:val="00FE073E"/>
    <w:rsid w:val="00FE0769"/>
    <w:rsid w:val="00FE07B1"/>
    <w:rsid w:val="00FE0B60"/>
    <w:rsid w:val="00FE0D43"/>
    <w:rsid w:val="00FE11B9"/>
    <w:rsid w:val="00FE15F5"/>
    <w:rsid w:val="00FE16DD"/>
    <w:rsid w:val="00FE1728"/>
    <w:rsid w:val="00FE1C5F"/>
    <w:rsid w:val="00FE215E"/>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5E9A"/>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117"/>
    <w:rsid w:val="00FF1455"/>
    <w:rsid w:val="00FF1516"/>
    <w:rsid w:val="00FF165E"/>
    <w:rsid w:val="00FF1716"/>
    <w:rsid w:val="00FF1875"/>
    <w:rsid w:val="00FF1920"/>
    <w:rsid w:val="00FF1A0D"/>
    <w:rsid w:val="00FF1ACF"/>
    <w:rsid w:val="00FF1C7D"/>
    <w:rsid w:val="00FF1FE9"/>
    <w:rsid w:val="00FF20B6"/>
    <w:rsid w:val="00FF20DF"/>
    <w:rsid w:val="00FF229F"/>
    <w:rsid w:val="00FF289D"/>
    <w:rsid w:val="00FF2A88"/>
    <w:rsid w:val="00FF2FC5"/>
    <w:rsid w:val="00FF330A"/>
    <w:rsid w:val="00FF37C5"/>
    <w:rsid w:val="00FF3A12"/>
    <w:rsid w:val="00FF3A6C"/>
    <w:rsid w:val="00FF3A6F"/>
    <w:rsid w:val="00FF3BB4"/>
    <w:rsid w:val="00FF3C7C"/>
    <w:rsid w:val="00FF3CFC"/>
    <w:rsid w:val="00FF3D3F"/>
    <w:rsid w:val="00FF3FB4"/>
    <w:rsid w:val="00FF402F"/>
    <w:rsid w:val="00FF4158"/>
    <w:rsid w:val="00FF439E"/>
    <w:rsid w:val="00FF43AF"/>
    <w:rsid w:val="00FF43CE"/>
    <w:rsid w:val="00FF46A0"/>
    <w:rsid w:val="00FF48E0"/>
    <w:rsid w:val="00FF4B14"/>
    <w:rsid w:val="00FF4C38"/>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AAB"/>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6F294AFD-5346-4B7F-ABC5-6280DCC9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2730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2730C"/>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UnresolvedMention">
    <w:name w:val="Unresolved Mention"/>
    <w:basedOn w:val="DefaultParagraphFont"/>
    <w:uiPriority w:val="99"/>
    <w:semiHidden/>
    <w:unhideWhenUsed/>
    <w:rsid w:val="00465098"/>
    <w:rPr>
      <w:color w:val="605E5C"/>
      <w:shd w:val="clear" w:color="auto" w:fill="E1DFDD"/>
    </w:rPr>
  </w:style>
  <w:style w:type="character" w:customStyle="1" w:styleId="normaltextrun">
    <w:name w:val="normaltextrun"/>
    <w:basedOn w:val="DefaultParagraphFont"/>
    <w:qFormat/>
    <w:rsid w:val="004F7DD3"/>
  </w:style>
  <w:style w:type="table" w:styleId="GridTable2">
    <w:name w:val="Grid Table 2"/>
    <w:basedOn w:val="TableNormal"/>
    <w:uiPriority w:val="47"/>
    <w:rsid w:val="005617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617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4916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4916A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6821">
      <w:bodyDiv w:val="1"/>
      <w:marLeft w:val="0"/>
      <w:marRight w:val="0"/>
      <w:marTop w:val="0"/>
      <w:marBottom w:val="0"/>
      <w:divBdr>
        <w:top w:val="none" w:sz="0" w:space="0" w:color="auto"/>
        <w:left w:val="none" w:sz="0" w:space="0" w:color="auto"/>
        <w:bottom w:val="none" w:sz="0" w:space="0" w:color="auto"/>
        <w:right w:val="none" w:sz="0" w:space="0" w:color="auto"/>
      </w:divBdr>
    </w:div>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680060">
      <w:bodyDiv w:val="1"/>
      <w:marLeft w:val="0"/>
      <w:marRight w:val="0"/>
      <w:marTop w:val="0"/>
      <w:marBottom w:val="0"/>
      <w:divBdr>
        <w:top w:val="none" w:sz="0" w:space="0" w:color="auto"/>
        <w:left w:val="none" w:sz="0" w:space="0" w:color="auto"/>
        <w:bottom w:val="none" w:sz="0" w:space="0" w:color="auto"/>
        <w:right w:val="none" w:sz="0" w:space="0" w:color="auto"/>
      </w:divBdr>
      <w:divsChild>
        <w:div w:id="15545478">
          <w:marLeft w:val="274"/>
          <w:marRight w:val="0"/>
          <w:marTop w:val="240"/>
          <w:marBottom w:val="0"/>
          <w:divBdr>
            <w:top w:val="none" w:sz="0" w:space="0" w:color="auto"/>
            <w:left w:val="none" w:sz="0" w:space="0" w:color="auto"/>
            <w:bottom w:val="none" w:sz="0" w:space="0" w:color="auto"/>
            <w:right w:val="none" w:sz="0" w:space="0" w:color="auto"/>
          </w:divBdr>
        </w:div>
        <w:div w:id="335618667">
          <w:marLeft w:val="806"/>
          <w:marRight w:val="0"/>
          <w:marTop w:val="0"/>
          <w:marBottom w:val="0"/>
          <w:divBdr>
            <w:top w:val="none" w:sz="0" w:space="0" w:color="auto"/>
            <w:left w:val="none" w:sz="0" w:space="0" w:color="auto"/>
            <w:bottom w:val="none" w:sz="0" w:space="0" w:color="auto"/>
            <w:right w:val="none" w:sz="0" w:space="0" w:color="auto"/>
          </w:divBdr>
        </w:div>
        <w:div w:id="597757721">
          <w:marLeft w:val="806"/>
          <w:marRight w:val="0"/>
          <w:marTop w:val="0"/>
          <w:marBottom w:val="0"/>
          <w:divBdr>
            <w:top w:val="none" w:sz="0" w:space="0" w:color="auto"/>
            <w:left w:val="none" w:sz="0" w:space="0" w:color="auto"/>
            <w:bottom w:val="none" w:sz="0" w:space="0" w:color="auto"/>
            <w:right w:val="none" w:sz="0" w:space="0" w:color="auto"/>
          </w:divBdr>
        </w:div>
        <w:div w:id="752242135">
          <w:marLeft w:val="533"/>
          <w:marRight w:val="0"/>
          <w:marTop w:val="0"/>
          <w:marBottom w:val="0"/>
          <w:divBdr>
            <w:top w:val="none" w:sz="0" w:space="0" w:color="auto"/>
            <w:left w:val="none" w:sz="0" w:space="0" w:color="auto"/>
            <w:bottom w:val="none" w:sz="0" w:space="0" w:color="auto"/>
            <w:right w:val="none" w:sz="0" w:space="0" w:color="auto"/>
          </w:divBdr>
        </w:div>
        <w:div w:id="1213351069">
          <w:marLeft w:val="533"/>
          <w:marRight w:val="0"/>
          <w:marTop w:val="0"/>
          <w:marBottom w:val="0"/>
          <w:divBdr>
            <w:top w:val="none" w:sz="0" w:space="0" w:color="auto"/>
            <w:left w:val="none" w:sz="0" w:space="0" w:color="auto"/>
            <w:bottom w:val="none" w:sz="0" w:space="0" w:color="auto"/>
            <w:right w:val="none" w:sz="0" w:space="0" w:color="auto"/>
          </w:divBdr>
        </w:div>
        <w:div w:id="1236864361">
          <w:marLeft w:val="274"/>
          <w:marRight w:val="0"/>
          <w:marTop w:val="240"/>
          <w:marBottom w:val="0"/>
          <w:divBdr>
            <w:top w:val="none" w:sz="0" w:space="0" w:color="auto"/>
            <w:left w:val="none" w:sz="0" w:space="0" w:color="auto"/>
            <w:bottom w:val="none" w:sz="0" w:space="0" w:color="auto"/>
            <w:right w:val="none" w:sz="0" w:space="0" w:color="auto"/>
          </w:divBdr>
        </w:div>
        <w:div w:id="1602953531">
          <w:marLeft w:val="806"/>
          <w:marRight w:val="0"/>
          <w:marTop w:val="0"/>
          <w:marBottom w:val="0"/>
          <w:divBdr>
            <w:top w:val="none" w:sz="0" w:space="0" w:color="auto"/>
            <w:left w:val="none" w:sz="0" w:space="0" w:color="auto"/>
            <w:bottom w:val="none" w:sz="0" w:space="0" w:color="auto"/>
            <w:right w:val="none" w:sz="0" w:space="0" w:color="auto"/>
          </w:divBdr>
        </w:div>
        <w:div w:id="1794442442">
          <w:marLeft w:val="274"/>
          <w:marRight w:val="0"/>
          <w:marTop w:val="240"/>
          <w:marBottom w:val="0"/>
          <w:divBdr>
            <w:top w:val="none" w:sz="0" w:space="0" w:color="auto"/>
            <w:left w:val="none" w:sz="0" w:space="0" w:color="auto"/>
            <w:bottom w:val="none" w:sz="0" w:space="0" w:color="auto"/>
            <w:right w:val="none" w:sz="0" w:space="0" w:color="auto"/>
          </w:divBdr>
        </w:div>
        <w:div w:id="1942952156">
          <w:marLeft w:val="533"/>
          <w:marRight w:val="0"/>
          <w:marTop w:val="0"/>
          <w:marBottom w:val="0"/>
          <w:divBdr>
            <w:top w:val="none" w:sz="0" w:space="0" w:color="auto"/>
            <w:left w:val="none" w:sz="0" w:space="0" w:color="auto"/>
            <w:bottom w:val="none" w:sz="0" w:space="0" w:color="auto"/>
            <w:right w:val="none" w:sz="0" w:space="0" w:color="auto"/>
          </w:divBdr>
        </w:div>
        <w:div w:id="2121021979">
          <w:marLeft w:val="80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7823136">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7625360">
      <w:bodyDiv w:val="1"/>
      <w:marLeft w:val="0"/>
      <w:marRight w:val="0"/>
      <w:marTop w:val="0"/>
      <w:marBottom w:val="0"/>
      <w:divBdr>
        <w:top w:val="none" w:sz="0" w:space="0" w:color="auto"/>
        <w:left w:val="none" w:sz="0" w:space="0" w:color="auto"/>
        <w:bottom w:val="none" w:sz="0" w:space="0" w:color="auto"/>
        <w:right w:val="none" w:sz="0" w:space="0" w:color="auto"/>
      </w:divBdr>
      <w:divsChild>
        <w:div w:id="146554021">
          <w:marLeft w:val="1267"/>
          <w:marRight w:val="0"/>
          <w:marTop w:val="0"/>
          <w:marBottom w:val="0"/>
          <w:divBdr>
            <w:top w:val="none" w:sz="0" w:space="0" w:color="auto"/>
            <w:left w:val="none" w:sz="0" w:space="0" w:color="auto"/>
            <w:bottom w:val="none" w:sz="0" w:space="0" w:color="auto"/>
            <w:right w:val="none" w:sz="0" w:space="0" w:color="auto"/>
          </w:divBdr>
        </w:div>
        <w:div w:id="325744529">
          <w:marLeft w:val="1714"/>
          <w:marRight w:val="0"/>
          <w:marTop w:val="0"/>
          <w:marBottom w:val="0"/>
          <w:divBdr>
            <w:top w:val="none" w:sz="0" w:space="0" w:color="auto"/>
            <w:left w:val="none" w:sz="0" w:space="0" w:color="auto"/>
            <w:bottom w:val="none" w:sz="0" w:space="0" w:color="auto"/>
            <w:right w:val="none" w:sz="0" w:space="0" w:color="auto"/>
          </w:divBdr>
        </w:div>
        <w:div w:id="352608322">
          <w:marLeft w:val="1267"/>
          <w:marRight w:val="0"/>
          <w:marTop w:val="0"/>
          <w:marBottom w:val="0"/>
          <w:divBdr>
            <w:top w:val="none" w:sz="0" w:space="0" w:color="auto"/>
            <w:left w:val="none" w:sz="0" w:space="0" w:color="auto"/>
            <w:bottom w:val="none" w:sz="0" w:space="0" w:color="auto"/>
            <w:right w:val="none" w:sz="0" w:space="0" w:color="auto"/>
          </w:divBdr>
        </w:div>
        <w:div w:id="368923106">
          <w:marLeft w:val="1714"/>
          <w:marRight w:val="0"/>
          <w:marTop w:val="0"/>
          <w:marBottom w:val="0"/>
          <w:divBdr>
            <w:top w:val="none" w:sz="0" w:space="0" w:color="auto"/>
            <w:left w:val="none" w:sz="0" w:space="0" w:color="auto"/>
            <w:bottom w:val="none" w:sz="0" w:space="0" w:color="auto"/>
            <w:right w:val="none" w:sz="0" w:space="0" w:color="auto"/>
          </w:divBdr>
        </w:div>
        <w:div w:id="754519756">
          <w:marLeft w:val="1267"/>
          <w:marRight w:val="0"/>
          <w:marTop w:val="0"/>
          <w:marBottom w:val="0"/>
          <w:divBdr>
            <w:top w:val="none" w:sz="0" w:space="0" w:color="auto"/>
            <w:left w:val="none" w:sz="0" w:space="0" w:color="auto"/>
            <w:bottom w:val="none" w:sz="0" w:space="0" w:color="auto"/>
            <w:right w:val="none" w:sz="0" w:space="0" w:color="auto"/>
          </w:divBdr>
        </w:div>
        <w:div w:id="855001781">
          <w:marLeft w:val="1714"/>
          <w:marRight w:val="0"/>
          <w:marTop w:val="0"/>
          <w:marBottom w:val="0"/>
          <w:divBdr>
            <w:top w:val="none" w:sz="0" w:space="0" w:color="auto"/>
            <w:left w:val="none" w:sz="0" w:space="0" w:color="auto"/>
            <w:bottom w:val="none" w:sz="0" w:space="0" w:color="auto"/>
            <w:right w:val="none" w:sz="0" w:space="0" w:color="auto"/>
          </w:divBdr>
        </w:div>
        <w:div w:id="1463183951">
          <w:marLeft w:val="1267"/>
          <w:marRight w:val="0"/>
          <w:marTop w:val="0"/>
          <w:marBottom w:val="0"/>
          <w:divBdr>
            <w:top w:val="none" w:sz="0" w:space="0" w:color="auto"/>
            <w:left w:val="none" w:sz="0" w:space="0" w:color="auto"/>
            <w:bottom w:val="none" w:sz="0" w:space="0" w:color="auto"/>
            <w:right w:val="none" w:sz="0" w:space="0" w:color="auto"/>
          </w:divBdr>
        </w:div>
        <w:div w:id="1528062227">
          <w:marLeft w:val="547"/>
          <w:marRight w:val="0"/>
          <w:marTop w:val="240"/>
          <w:marBottom w:val="0"/>
          <w:divBdr>
            <w:top w:val="none" w:sz="0" w:space="0" w:color="auto"/>
            <w:left w:val="none" w:sz="0" w:space="0" w:color="auto"/>
            <w:bottom w:val="none" w:sz="0" w:space="0" w:color="auto"/>
            <w:right w:val="none" w:sz="0" w:space="0" w:color="auto"/>
          </w:divBdr>
        </w:div>
        <w:div w:id="1734042859">
          <w:marLeft w:val="1714"/>
          <w:marRight w:val="0"/>
          <w:marTop w:val="0"/>
          <w:marBottom w:val="0"/>
          <w:divBdr>
            <w:top w:val="none" w:sz="0" w:space="0" w:color="auto"/>
            <w:left w:val="none" w:sz="0" w:space="0" w:color="auto"/>
            <w:bottom w:val="none" w:sz="0" w:space="0" w:color="auto"/>
            <w:right w:val="none" w:sz="0" w:space="0" w:color="auto"/>
          </w:divBdr>
        </w:div>
        <w:div w:id="1978559847">
          <w:marLeft w:val="1267"/>
          <w:marRight w:val="0"/>
          <w:marTop w:val="0"/>
          <w:marBottom w:val="0"/>
          <w:divBdr>
            <w:top w:val="none" w:sz="0" w:space="0" w:color="auto"/>
            <w:left w:val="none" w:sz="0" w:space="0" w:color="auto"/>
            <w:bottom w:val="none" w:sz="0" w:space="0" w:color="auto"/>
            <w:right w:val="none" w:sz="0" w:space="0" w:color="auto"/>
          </w:divBdr>
        </w:div>
        <w:div w:id="2130197468">
          <w:marLeft w:val="1714"/>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79403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29362044">
      <w:bodyDiv w:val="1"/>
      <w:marLeft w:val="0"/>
      <w:marRight w:val="0"/>
      <w:marTop w:val="0"/>
      <w:marBottom w:val="0"/>
      <w:divBdr>
        <w:top w:val="none" w:sz="0" w:space="0" w:color="auto"/>
        <w:left w:val="none" w:sz="0" w:space="0" w:color="auto"/>
        <w:bottom w:val="none" w:sz="0" w:space="0" w:color="auto"/>
        <w:right w:val="none" w:sz="0" w:space="0" w:color="auto"/>
      </w:divBdr>
      <w:divsChild>
        <w:div w:id="1970817360">
          <w:marLeft w:val="0"/>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8683805">
      <w:bodyDiv w:val="1"/>
      <w:marLeft w:val="0"/>
      <w:marRight w:val="0"/>
      <w:marTop w:val="0"/>
      <w:marBottom w:val="0"/>
      <w:divBdr>
        <w:top w:val="none" w:sz="0" w:space="0" w:color="auto"/>
        <w:left w:val="none" w:sz="0" w:space="0" w:color="auto"/>
        <w:bottom w:val="none" w:sz="0" w:space="0" w:color="auto"/>
        <w:right w:val="none" w:sz="0" w:space="0" w:color="auto"/>
      </w:divBdr>
      <w:divsChild>
        <w:div w:id="507595866">
          <w:marLeft w:val="274"/>
          <w:marRight w:val="0"/>
          <w:marTop w:val="24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03103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18936636">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5239171">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774610">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4938209">
      <w:bodyDiv w:val="1"/>
      <w:marLeft w:val="0"/>
      <w:marRight w:val="0"/>
      <w:marTop w:val="0"/>
      <w:marBottom w:val="0"/>
      <w:divBdr>
        <w:top w:val="none" w:sz="0" w:space="0" w:color="auto"/>
        <w:left w:val="none" w:sz="0" w:space="0" w:color="auto"/>
        <w:bottom w:val="none" w:sz="0" w:space="0" w:color="auto"/>
        <w:right w:val="none" w:sz="0" w:space="0" w:color="auto"/>
      </w:divBdr>
      <w:divsChild>
        <w:div w:id="1586570762">
          <w:marLeft w:val="533"/>
          <w:marRight w:val="0"/>
          <w:marTop w:val="0"/>
          <w:marBottom w:val="0"/>
          <w:divBdr>
            <w:top w:val="none" w:sz="0" w:space="0" w:color="auto"/>
            <w:left w:val="none" w:sz="0" w:space="0" w:color="auto"/>
            <w:bottom w:val="none" w:sz="0" w:space="0" w:color="auto"/>
            <w:right w:val="none" w:sz="0" w:space="0" w:color="auto"/>
          </w:divBdr>
        </w:div>
      </w:divsChild>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258225">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1745298">
      <w:bodyDiv w:val="1"/>
      <w:marLeft w:val="0"/>
      <w:marRight w:val="0"/>
      <w:marTop w:val="0"/>
      <w:marBottom w:val="0"/>
      <w:divBdr>
        <w:top w:val="none" w:sz="0" w:space="0" w:color="auto"/>
        <w:left w:val="none" w:sz="0" w:space="0" w:color="auto"/>
        <w:bottom w:val="none" w:sz="0" w:space="0" w:color="auto"/>
        <w:right w:val="none" w:sz="0" w:space="0" w:color="auto"/>
      </w:divBdr>
      <w:divsChild>
        <w:div w:id="280771584">
          <w:marLeft w:val="533"/>
          <w:marRight w:val="0"/>
          <w:marTop w:val="0"/>
          <w:marBottom w:val="0"/>
          <w:divBdr>
            <w:top w:val="none" w:sz="0" w:space="0" w:color="auto"/>
            <w:left w:val="none" w:sz="0" w:space="0" w:color="auto"/>
            <w:bottom w:val="none" w:sz="0" w:space="0" w:color="auto"/>
            <w:right w:val="none" w:sz="0" w:space="0" w:color="auto"/>
          </w:divBdr>
        </w:div>
        <w:div w:id="336659633">
          <w:marLeft w:val="806"/>
          <w:marRight w:val="0"/>
          <w:marTop w:val="0"/>
          <w:marBottom w:val="0"/>
          <w:divBdr>
            <w:top w:val="none" w:sz="0" w:space="0" w:color="auto"/>
            <w:left w:val="none" w:sz="0" w:space="0" w:color="auto"/>
            <w:bottom w:val="none" w:sz="0" w:space="0" w:color="auto"/>
            <w:right w:val="none" w:sz="0" w:space="0" w:color="auto"/>
          </w:divBdr>
        </w:div>
        <w:div w:id="657685753">
          <w:marLeft w:val="274"/>
          <w:marRight w:val="0"/>
          <w:marTop w:val="240"/>
          <w:marBottom w:val="0"/>
          <w:divBdr>
            <w:top w:val="none" w:sz="0" w:space="0" w:color="auto"/>
            <w:left w:val="none" w:sz="0" w:space="0" w:color="auto"/>
            <w:bottom w:val="none" w:sz="0" w:space="0" w:color="auto"/>
            <w:right w:val="none" w:sz="0" w:space="0" w:color="auto"/>
          </w:divBdr>
        </w:div>
        <w:div w:id="738595687">
          <w:marLeft w:val="806"/>
          <w:marRight w:val="0"/>
          <w:marTop w:val="0"/>
          <w:marBottom w:val="0"/>
          <w:divBdr>
            <w:top w:val="none" w:sz="0" w:space="0" w:color="auto"/>
            <w:left w:val="none" w:sz="0" w:space="0" w:color="auto"/>
            <w:bottom w:val="none" w:sz="0" w:space="0" w:color="auto"/>
            <w:right w:val="none" w:sz="0" w:space="0" w:color="auto"/>
          </w:divBdr>
        </w:div>
        <w:div w:id="1251817758">
          <w:marLeft w:val="533"/>
          <w:marRight w:val="0"/>
          <w:marTop w:val="0"/>
          <w:marBottom w:val="0"/>
          <w:divBdr>
            <w:top w:val="none" w:sz="0" w:space="0" w:color="auto"/>
            <w:left w:val="none" w:sz="0" w:space="0" w:color="auto"/>
            <w:bottom w:val="none" w:sz="0" w:space="0" w:color="auto"/>
            <w:right w:val="none" w:sz="0" w:space="0" w:color="auto"/>
          </w:divBdr>
        </w:div>
        <w:div w:id="1434473313">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3743657">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8838695">
      <w:bodyDiv w:val="1"/>
      <w:marLeft w:val="0"/>
      <w:marRight w:val="0"/>
      <w:marTop w:val="0"/>
      <w:marBottom w:val="0"/>
      <w:divBdr>
        <w:top w:val="none" w:sz="0" w:space="0" w:color="auto"/>
        <w:left w:val="none" w:sz="0" w:space="0" w:color="auto"/>
        <w:bottom w:val="none" w:sz="0" w:space="0" w:color="auto"/>
        <w:right w:val="none" w:sz="0" w:space="0" w:color="auto"/>
      </w:divBdr>
      <w:divsChild>
        <w:div w:id="1574700134">
          <w:marLeft w:val="274"/>
          <w:marRight w:val="0"/>
          <w:marTop w:val="240"/>
          <w:marBottom w:val="0"/>
          <w:divBdr>
            <w:top w:val="none" w:sz="0" w:space="0" w:color="auto"/>
            <w:left w:val="none" w:sz="0" w:space="0" w:color="auto"/>
            <w:bottom w:val="none" w:sz="0" w:space="0" w:color="auto"/>
            <w:right w:val="none" w:sz="0" w:space="0" w:color="auto"/>
          </w:divBdr>
        </w:div>
        <w:div w:id="1786777220">
          <w:marLeft w:val="533"/>
          <w:marRight w:val="0"/>
          <w:marTop w:val="0"/>
          <w:marBottom w:val="0"/>
          <w:divBdr>
            <w:top w:val="none" w:sz="0" w:space="0" w:color="auto"/>
            <w:left w:val="none" w:sz="0" w:space="0" w:color="auto"/>
            <w:bottom w:val="none" w:sz="0" w:space="0" w:color="auto"/>
            <w:right w:val="none" w:sz="0" w:space="0" w:color="auto"/>
          </w:divBdr>
        </w:div>
        <w:div w:id="1822580118">
          <w:marLeft w:val="533"/>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6478424">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385341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8187054">
      <w:bodyDiv w:val="1"/>
      <w:marLeft w:val="0"/>
      <w:marRight w:val="0"/>
      <w:marTop w:val="0"/>
      <w:marBottom w:val="0"/>
      <w:divBdr>
        <w:top w:val="none" w:sz="0" w:space="0" w:color="auto"/>
        <w:left w:val="none" w:sz="0" w:space="0" w:color="auto"/>
        <w:bottom w:val="none" w:sz="0" w:space="0" w:color="auto"/>
        <w:right w:val="none" w:sz="0" w:space="0" w:color="auto"/>
      </w:divBdr>
      <w:divsChild>
        <w:div w:id="1549220821">
          <w:marLeft w:val="274"/>
          <w:marRight w:val="0"/>
          <w:marTop w:val="240"/>
          <w:marBottom w:val="0"/>
          <w:divBdr>
            <w:top w:val="none" w:sz="0" w:space="0" w:color="auto"/>
            <w:left w:val="none" w:sz="0" w:space="0" w:color="auto"/>
            <w:bottom w:val="none" w:sz="0" w:space="0" w:color="auto"/>
            <w:right w:val="none" w:sz="0" w:space="0" w:color="auto"/>
          </w:divBdr>
        </w:div>
      </w:divsChild>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3EQ6UJ4K66FU-702124171-40491</_dlc_DocId>
    <_dlc_DocIdUrl xmlns="401a1e0c-8dbe-4950-85d1-4031081349ee">
      <Url>https://qualcomm.sharepoint.com/teams/meridian1/_layouts/15/DocIdRedir.aspx?ID=3EQ6UJ4K66FU-702124171-40491</Url>
      <Description>3EQ6UJ4K66FU-702124171-40491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3" ma:contentTypeDescription="Create a new document." ma:contentTypeScope="" ma:versionID="c0cd1ce79c468aa6140892bcc97880f4">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1e6c970a0381e2a3477871afc560ef3a"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64DCFB40-4BFF-40F7-AB8F-7C6AFA9B1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F825D-588F-4F6C-A36D-793FB4AA0F52}">
  <ds:schemaRefs>
    <ds:schemaRef ds:uri="http://schemas.openxmlformats.org/officeDocument/2006/bibliography"/>
  </ds:schemaRefs>
</ds:datastoreItem>
</file>

<file path=customXml/itemProps4.xml><?xml version="1.0" encoding="utf-8"?>
<ds:datastoreItem xmlns:ds="http://schemas.openxmlformats.org/officeDocument/2006/customXml" ds:itemID="{2EB695A2-855A-4561-A385-290C0B5429EC}">
  <ds:schemaRefs>
    <ds:schemaRef ds:uri="http://schemas.microsoft.com/sharepoint/events"/>
  </ds:schemaRefs>
</ds:datastoreItem>
</file>

<file path=customXml/itemProps5.xml><?xml version="1.0" encoding="utf-8"?>
<ds:datastoreItem xmlns:ds="http://schemas.openxmlformats.org/officeDocument/2006/customXml" ds:itemID="{031D4AA5-FA57-4B64-BA77-B7CDDCC455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8173</TotalTime>
  <Pages>1</Pages>
  <Words>4778</Words>
  <Characters>27239</Characters>
  <Application>Microsoft Office Word</Application>
  <DocSecurity>4</DocSecurity>
  <Lines>226</Lines>
  <Paragraphs>63</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31954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Ahmed Zewail</cp:lastModifiedBy>
  <cp:revision>386</cp:revision>
  <cp:lastPrinted>2017-03-25T00:57:00Z</cp:lastPrinted>
  <dcterms:created xsi:type="dcterms:W3CDTF">2021-04-27T18:05:00Z</dcterms:created>
  <dcterms:modified xsi:type="dcterms:W3CDTF">2021-05-12T00:33:00Z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3735249c-4a86-482e-8612-59cd0d826eee</vt:lpwstr>
  </property>
</Properties>
</file>